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B2" w:rsidRPr="00BF5DFF" w:rsidRDefault="00BA3AB2" w:rsidP="0010132E">
      <w:pPr>
        <w:spacing w:after="0" w:line="240" w:lineRule="auto"/>
        <w:rPr>
          <w:b/>
          <w:bCs/>
          <w:color w:val="000000"/>
          <w:sz w:val="24"/>
          <w:szCs w:val="24"/>
          <w:lang w:eastAsia="en-GB"/>
        </w:rPr>
      </w:pPr>
      <w:r w:rsidRPr="00BF5DFF">
        <w:rPr>
          <w:b/>
          <w:bCs/>
          <w:color w:val="000000"/>
          <w:sz w:val="24"/>
          <w:szCs w:val="24"/>
          <w:lang w:eastAsia="en-GB"/>
        </w:rPr>
        <w:t xml:space="preserve">DEL QUALITY AND </w:t>
      </w:r>
      <w:r w:rsidR="00774BA2" w:rsidRPr="00BF5DFF">
        <w:rPr>
          <w:b/>
          <w:bCs/>
          <w:color w:val="000000"/>
          <w:sz w:val="24"/>
          <w:szCs w:val="24"/>
          <w:lang w:eastAsia="en-GB"/>
        </w:rPr>
        <w:t>PERFORMANCE –</w:t>
      </w:r>
      <w:r w:rsidRPr="00BF5DFF">
        <w:rPr>
          <w:b/>
          <w:bCs/>
          <w:color w:val="000000"/>
          <w:sz w:val="24"/>
          <w:szCs w:val="24"/>
          <w:lang w:eastAsia="en-GB"/>
        </w:rPr>
        <w:t xml:space="preserve"> </w:t>
      </w:r>
      <w:r w:rsidR="00E778B9">
        <w:rPr>
          <w:b/>
          <w:bCs/>
          <w:color w:val="000000"/>
          <w:sz w:val="24"/>
          <w:szCs w:val="24"/>
          <w:lang w:eastAsia="en-GB"/>
        </w:rPr>
        <w:t xml:space="preserve">A REFRESHED </w:t>
      </w:r>
      <w:r w:rsidRPr="00BF5DFF">
        <w:rPr>
          <w:b/>
          <w:bCs/>
          <w:color w:val="000000"/>
          <w:sz w:val="24"/>
          <w:szCs w:val="24"/>
          <w:lang w:eastAsia="en-GB"/>
        </w:rPr>
        <w:t>ACTION PLAN</w:t>
      </w:r>
      <w:r w:rsidR="00445620">
        <w:rPr>
          <w:b/>
          <w:bCs/>
          <w:color w:val="000000"/>
          <w:sz w:val="24"/>
          <w:szCs w:val="24"/>
          <w:lang w:eastAsia="en-GB"/>
        </w:rPr>
        <w:t xml:space="preserve"> (2014)</w:t>
      </w:r>
    </w:p>
    <w:p w:rsidR="00BA3AB2" w:rsidRPr="00BF5DFF" w:rsidRDefault="00BA3AB2">
      <w:pPr>
        <w:rPr>
          <w:sz w:val="24"/>
          <w:szCs w:val="24"/>
        </w:rPr>
      </w:pPr>
    </w:p>
    <w:p w:rsidR="00BA3AB2" w:rsidRPr="00BF5DFF" w:rsidRDefault="00BA3AB2" w:rsidP="0010132E">
      <w:pPr>
        <w:spacing w:after="0" w:line="240" w:lineRule="auto"/>
        <w:rPr>
          <w:b/>
          <w:bCs/>
          <w:color w:val="000000"/>
          <w:sz w:val="24"/>
          <w:szCs w:val="24"/>
          <w:lang w:eastAsia="en-GB"/>
        </w:rPr>
      </w:pPr>
      <w:r w:rsidRPr="00BF5DFF">
        <w:rPr>
          <w:b/>
          <w:bCs/>
          <w:color w:val="000000"/>
          <w:sz w:val="24"/>
          <w:szCs w:val="24"/>
          <w:lang w:eastAsia="en-GB"/>
        </w:rPr>
        <w:t xml:space="preserve">A response to the </w:t>
      </w:r>
      <w:r w:rsidR="00AE5996">
        <w:rPr>
          <w:b/>
          <w:bCs/>
          <w:color w:val="000000"/>
          <w:sz w:val="24"/>
          <w:szCs w:val="24"/>
          <w:lang w:eastAsia="en-GB"/>
        </w:rPr>
        <w:t>k</w:t>
      </w:r>
      <w:r w:rsidRPr="00BF5DFF">
        <w:rPr>
          <w:b/>
          <w:bCs/>
          <w:color w:val="000000"/>
          <w:sz w:val="24"/>
          <w:szCs w:val="24"/>
          <w:lang w:eastAsia="en-GB"/>
        </w:rPr>
        <w:t xml:space="preserve">ey </w:t>
      </w:r>
      <w:r w:rsidR="00AE5996">
        <w:rPr>
          <w:b/>
          <w:bCs/>
          <w:color w:val="000000"/>
          <w:sz w:val="24"/>
          <w:szCs w:val="24"/>
          <w:lang w:eastAsia="en-GB"/>
        </w:rPr>
        <w:t>i</w:t>
      </w:r>
      <w:r w:rsidRPr="00BF5DFF">
        <w:rPr>
          <w:b/>
          <w:bCs/>
          <w:color w:val="000000"/>
          <w:sz w:val="24"/>
          <w:szCs w:val="24"/>
          <w:lang w:eastAsia="en-GB"/>
        </w:rPr>
        <w:t xml:space="preserve">ssues </w:t>
      </w:r>
      <w:r w:rsidR="00AE5996">
        <w:rPr>
          <w:b/>
          <w:bCs/>
          <w:color w:val="000000"/>
          <w:sz w:val="24"/>
          <w:szCs w:val="24"/>
          <w:lang w:eastAsia="en-GB"/>
        </w:rPr>
        <w:t>r</w:t>
      </w:r>
      <w:r w:rsidRPr="00BF5DFF">
        <w:rPr>
          <w:b/>
          <w:bCs/>
          <w:color w:val="000000"/>
          <w:sz w:val="24"/>
          <w:szCs w:val="24"/>
          <w:lang w:eastAsia="en-GB"/>
        </w:rPr>
        <w:t>aised in</w:t>
      </w:r>
      <w:r w:rsidR="00EE3F18">
        <w:rPr>
          <w:b/>
          <w:bCs/>
          <w:color w:val="000000"/>
          <w:sz w:val="24"/>
          <w:szCs w:val="24"/>
          <w:lang w:eastAsia="en-GB"/>
        </w:rPr>
        <w:t xml:space="preserve"> the DEL </w:t>
      </w:r>
      <w:r w:rsidRPr="00BF5DFF">
        <w:rPr>
          <w:b/>
          <w:bCs/>
          <w:color w:val="000000"/>
          <w:sz w:val="24"/>
          <w:szCs w:val="24"/>
          <w:lang w:eastAsia="en-GB"/>
        </w:rPr>
        <w:t>Performance Report</w:t>
      </w:r>
    </w:p>
    <w:p w:rsidR="00BA3AB2" w:rsidRDefault="00BA3AB2">
      <w:pPr>
        <w:rPr>
          <w:sz w:val="24"/>
          <w:szCs w:val="24"/>
        </w:rPr>
      </w:pPr>
    </w:p>
    <w:p w:rsidR="00BA3AB2" w:rsidRPr="00597EF0" w:rsidRDefault="00BA3AB2" w:rsidP="007B5774">
      <w:pPr>
        <w:pStyle w:val="ListParagraph"/>
        <w:numPr>
          <w:ilvl w:val="0"/>
          <w:numId w:val="2"/>
        </w:numPr>
        <w:jc w:val="both"/>
        <w:rPr>
          <w:sz w:val="24"/>
          <w:szCs w:val="24"/>
        </w:rPr>
      </w:pPr>
      <w:r w:rsidRPr="00A05455">
        <w:rPr>
          <w:rFonts w:cs="Arial"/>
        </w:rPr>
        <w:t>Annually, the Department for Employment and Learning (</w:t>
      </w:r>
      <w:r w:rsidR="00FC054D">
        <w:rPr>
          <w:rFonts w:cs="Arial"/>
        </w:rPr>
        <w:t>t</w:t>
      </w:r>
      <w:r w:rsidRPr="00A05455">
        <w:rPr>
          <w:rFonts w:cs="Arial"/>
        </w:rPr>
        <w:t xml:space="preserve">he Department) publishes a detailed </w:t>
      </w:r>
      <w:r>
        <w:rPr>
          <w:rFonts w:cs="Arial"/>
        </w:rPr>
        <w:t xml:space="preserve">quantitative </w:t>
      </w:r>
      <w:r w:rsidRPr="00A05455">
        <w:rPr>
          <w:rFonts w:cs="Arial"/>
        </w:rPr>
        <w:t xml:space="preserve">assessment of performance across its key programmes and provision.  The latest report, the </w:t>
      </w:r>
      <w:r w:rsidR="00E778B9">
        <w:rPr>
          <w:rFonts w:cs="Arial"/>
        </w:rPr>
        <w:t>fifth</w:t>
      </w:r>
      <w:r w:rsidRPr="00A05455">
        <w:rPr>
          <w:rFonts w:cs="Arial"/>
        </w:rPr>
        <w:t xml:space="preserve"> annual Performance </w:t>
      </w:r>
      <w:r w:rsidR="00EF73C9">
        <w:rPr>
          <w:rFonts w:cs="Arial"/>
        </w:rPr>
        <w:t xml:space="preserve">Analysis </w:t>
      </w:r>
      <w:r w:rsidRPr="00A05455">
        <w:rPr>
          <w:rFonts w:cs="Arial"/>
        </w:rPr>
        <w:t>report, was published in [</w:t>
      </w:r>
      <w:r w:rsidR="00EF73C9">
        <w:rPr>
          <w:rFonts w:cs="Arial"/>
        </w:rPr>
        <w:t>November</w:t>
      </w:r>
      <w:r w:rsidRPr="00A05455">
        <w:rPr>
          <w:rFonts w:cs="Arial"/>
        </w:rPr>
        <w:t>] 201</w:t>
      </w:r>
      <w:r w:rsidR="00E778B9">
        <w:rPr>
          <w:rFonts w:cs="Arial"/>
        </w:rPr>
        <w:t>4</w:t>
      </w:r>
      <w:r w:rsidRPr="00A05455">
        <w:rPr>
          <w:rFonts w:cs="Arial"/>
        </w:rPr>
        <w:t xml:space="preserve">. </w:t>
      </w:r>
      <w:r w:rsidR="00E778B9">
        <w:rPr>
          <w:rFonts w:cs="Arial"/>
        </w:rPr>
        <w:t xml:space="preserve">The Department also publishes a Quality and Performance Action Plan to complement its annual </w:t>
      </w:r>
      <w:r w:rsidR="008255CB">
        <w:rPr>
          <w:rFonts w:cs="Arial"/>
        </w:rPr>
        <w:t xml:space="preserve">performance </w:t>
      </w:r>
      <w:r w:rsidR="00E778B9">
        <w:rPr>
          <w:rFonts w:cs="Arial"/>
        </w:rPr>
        <w:t>report. Th</w:t>
      </w:r>
      <w:r w:rsidR="008255CB">
        <w:rPr>
          <w:rFonts w:cs="Arial"/>
        </w:rPr>
        <w:t>e following</w:t>
      </w:r>
      <w:r w:rsidR="00E778B9">
        <w:rPr>
          <w:rFonts w:cs="Arial"/>
        </w:rPr>
        <w:t xml:space="preserve"> Action Plan </w:t>
      </w:r>
      <w:r w:rsidR="008255CB">
        <w:rPr>
          <w:rFonts w:cs="Arial"/>
        </w:rPr>
        <w:t xml:space="preserve">monitors the progress that is being made by the Department against the actions identified as a consequence of previous Performance Analysis reports but also </w:t>
      </w:r>
      <w:r w:rsidR="00E778B9">
        <w:rPr>
          <w:rFonts w:cs="Arial"/>
        </w:rPr>
        <w:t>updates and refreshes th</w:t>
      </w:r>
      <w:r w:rsidR="008255CB">
        <w:rPr>
          <w:rFonts w:cs="Arial"/>
        </w:rPr>
        <w:t>ose</w:t>
      </w:r>
      <w:r w:rsidR="00E778B9">
        <w:rPr>
          <w:rFonts w:cs="Arial"/>
        </w:rPr>
        <w:t xml:space="preserve"> actions </w:t>
      </w:r>
      <w:r w:rsidR="00262819">
        <w:rPr>
          <w:rFonts w:cs="Arial"/>
        </w:rPr>
        <w:t>so that they remain</w:t>
      </w:r>
      <w:r w:rsidR="008255CB">
        <w:rPr>
          <w:rFonts w:cs="Arial"/>
        </w:rPr>
        <w:t xml:space="preserve"> fully </w:t>
      </w:r>
      <w:proofErr w:type="gramStart"/>
      <w:r w:rsidR="008255CB">
        <w:rPr>
          <w:rFonts w:cs="Arial"/>
        </w:rPr>
        <w:t xml:space="preserve">focused </w:t>
      </w:r>
      <w:r w:rsidR="00E778B9">
        <w:rPr>
          <w:rFonts w:cs="Arial"/>
        </w:rPr>
        <w:t xml:space="preserve"> </w:t>
      </w:r>
      <w:r w:rsidR="008255CB">
        <w:rPr>
          <w:rFonts w:cs="Arial"/>
        </w:rPr>
        <w:t>on</w:t>
      </w:r>
      <w:proofErr w:type="gramEnd"/>
      <w:r w:rsidR="008255CB">
        <w:rPr>
          <w:rFonts w:cs="Arial"/>
        </w:rPr>
        <w:t xml:space="preserve"> the enhancement of performance</w:t>
      </w:r>
      <w:r w:rsidR="00E778B9">
        <w:rPr>
          <w:rFonts w:cs="Arial"/>
        </w:rPr>
        <w:t xml:space="preserve">. </w:t>
      </w:r>
      <w:r w:rsidRPr="00A05455">
        <w:rPr>
          <w:rFonts w:cs="Arial"/>
        </w:rPr>
        <w:t>Th</w:t>
      </w:r>
      <w:r w:rsidR="008255CB">
        <w:rPr>
          <w:rFonts w:cs="Arial"/>
        </w:rPr>
        <w:t>is body of work</w:t>
      </w:r>
      <w:r w:rsidRPr="00A05455">
        <w:rPr>
          <w:rFonts w:cs="Arial"/>
        </w:rPr>
        <w:t xml:space="preserve"> is a</w:t>
      </w:r>
      <w:r>
        <w:rPr>
          <w:rFonts w:cs="Arial"/>
        </w:rPr>
        <w:t>n important</w:t>
      </w:r>
      <w:r w:rsidRPr="00A05455">
        <w:rPr>
          <w:rFonts w:cs="Arial"/>
        </w:rPr>
        <w:t xml:space="preserve"> </w:t>
      </w:r>
      <w:r>
        <w:rPr>
          <w:rFonts w:cs="Arial"/>
        </w:rPr>
        <w:t>element</w:t>
      </w:r>
      <w:r w:rsidRPr="00A05455">
        <w:rPr>
          <w:rFonts w:cs="Arial"/>
        </w:rPr>
        <w:t xml:space="preserve"> of the Department’s quality improvement strategy</w:t>
      </w:r>
      <w:r>
        <w:rPr>
          <w:rFonts w:cs="Arial"/>
        </w:rPr>
        <w:t xml:space="preserve">, </w:t>
      </w:r>
      <w:r w:rsidRPr="00A05455">
        <w:rPr>
          <w:rFonts w:cs="Arial"/>
        </w:rPr>
        <w:t>‘</w:t>
      </w:r>
      <w:r w:rsidRPr="00A05455">
        <w:rPr>
          <w:rFonts w:cs="Arial"/>
          <w:i/>
        </w:rPr>
        <w:t>Success through Excellence</w:t>
      </w:r>
      <w:r w:rsidRPr="00A05455">
        <w:rPr>
          <w:rFonts w:cs="Arial"/>
        </w:rPr>
        <w:t>’</w:t>
      </w:r>
      <w:r>
        <w:rPr>
          <w:rFonts w:cs="Arial"/>
        </w:rPr>
        <w:t xml:space="preserve">, </w:t>
      </w:r>
      <w:r w:rsidRPr="00A05455">
        <w:rPr>
          <w:rFonts w:cs="Arial"/>
        </w:rPr>
        <w:t>which sets out its commitment to evidence based policy development and high quality service delivery</w:t>
      </w:r>
      <w:r>
        <w:rPr>
          <w:rFonts w:cs="Arial"/>
        </w:rPr>
        <w:t>.</w:t>
      </w:r>
      <w:r w:rsidRPr="00A05455">
        <w:rPr>
          <w:rFonts w:cs="Arial"/>
        </w:rPr>
        <w:t xml:space="preserve"> </w:t>
      </w:r>
      <w:r>
        <w:rPr>
          <w:rFonts w:cs="Arial"/>
        </w:rPr>
        <w:t xml:space="preserve">The </w:t>
      </w:r>
      <w:r w:rsidRPr="00725342">
        <w:rPr>
          <w:rFonts w:cs="Arial"/>
        </w:rPr>
        <w:t xml:space="preserve">Department is committed to ensuring that the provision it funds is of a high quality, and that those who provide these services on its behalf </w:t>
      </w:r>
      <w:r>
        <w:rPr>
          <w:rFonts w:cs="Arial"/>
        </w:rPr>
        <w:t>deliver</w:t>
      </w:r>
      <w:r w:rsidRPr="00725342">
        <w:rPr>
          <w:rFonts w:cs="Arial"/>
        </w:rPr>
        <w:t xml:space="preserve"> high performance standards</w:t>
      </w:r>
      <w:r>
        <w:rPr>
          <w:rFonts w:cs="Arial"/>
        </w:rPr>
        <w:t>.</w:t>
      </w:r>
    </w:p>
    <w:p w:rsidR="00BA3AB2" w:rsidRPr="00046907" w:rsidRDefault="00BA3AB2" w:rsidP="007B5774">
      <w:pPr>
        <w:pStyle w:val="ListParagraph"/>
        <w:ind w:left="360"/>
        <w:jc w:val="both"/>
        <w:rPr>
          <w:sz w:val="24"/>
          <w:szCs w:val="24"/>
        </w:rPr>
      </w:pPr>
    </w:p>
    <w:p w:rsidR="00BA3AB2" w:rsidRPr="00597EF0" w:rsidRDefault="00BA3AB2" w:rsidP="007B5774">
      <w:pPr>
        <w:pStyle w:val="ListParagraph"/>
        <w:numPr>
          <w:ilvl w:val="0"/>
          <w:numId w:val="2"/>
        </w:numPr>
        <w:jc w:val="both"/>
        <w:rPr>
          <w:sz w:val="24"/>
          <w:szCs w:val="24"/>
        </w:rPr>
      </w:pPr>
      <w:r w:rsidRPr="00597EF0">
        <w:rPr>
          <w:rFonts w:cs="Arial"/>
        </w:rPr>
        <w:t>The Department has put in place an extensive framework for monitoring and delivering quality and performance</w:t>
      </w:r>
      <w:r>
        <w:rPr>
          <w:rFonts w:cs="Arial"/>
        </w:rPr>
        <w:t xml:space="preserve"> across its programmes</w:t>
      </w:r>
      <w:r w:rsidRPr="00597EF0">
        <w:rPr>
          <w:rFonts w:cs="Arial"/>
        </w:rPr>
        <w:t xml:space="preserve">. A number of </w:t>
      </w:r>
      <w:r>
        <w:rPr>
          <w:rFonts w:cs="Arial"/>
        </w:rPr>
        <w:t xml:space="preserve">key </w:t>
      </w:r>
      <w:r w:rsidRPr="00597EF0">
        <w:rPr>
          <w:rFonts w:cs="Arial"/>
        </w:rPr>
        <w:t>examples are set out below</w:t>
      </w:r>
      <w:r>
        <w:rPr>
          <w:rFonts w:cs="Arial"/>
        </w:rPr>
        <w:t>:</w:t>
      </w:r>
    </w:p>
    <w:p w:rsidR="00BA3AB2" w:rsidRPr="00597EF0" w:rsidRDefault="00BA3AB2" w:rsidP="007B5774">
      <w:pPr>
        <w:pStyle w:val="ListParagraph"/>
        <w:jc w:val="both"/>
        <w:rPr>
          <w:sz w:val="24"/>
          <w:szCs w:val="24"/>
        </w:rPr>
      </w:pPr>
    </w:p>
    <w:p w:rsidR="00BA3AB2" w:rsidRPr="0019607A" w:rsidRDefault="00BA3AB2" w:rsidP="007B5774">
      <w:pPr>
        <w:pStyle w:val="ListParagraph"/>
        <w:numPr>
          <w:ilvl w:val="0"/>
          <w:numId w:val="3"/>
        </w:numPr>
        <w:jc w:val="both"/>
        <w:rPr>
          <w:rFonts w:cs="Arial"/>
          <w:u w:val="single"/>
        </w:rPr>
      </w:pPr>
      <w:r w:rsidRPr="0019607A">
        <w:rPr>
          <w:sz w:val="24"/>
          <w:szCs w:val="24"/>
          <w:u w:val="single"/>
        </w:rPr>
        <w:t>Quality and Performance Monitoring in Further Education</w:t>
      </w:r>
    </w:p>
    <w:p w:rsidR="00BA3AB2" w:rsidRDefault="00BA3AB2" w:rsidP="007B5774">
      <w:pPr>
        <w:pStyle w:val="ListParagraph"/>
        <w:ind w:left="1080"/>
        <w:jc w:val="both"/>
        <w:rPr>
          <w:rFonts w:cs="Arial"/>
        </w:rPr>
      </w:pPr>
      <w:r w:rsidRPr="00597EF0">
        <w:rPr>
          <w:rFonts w:cs="Arial"/>
        </w:rPr>
        <w:t>In the Further Education Sector, the main components of the Department’s performance monitoring are: qu</w:t>
      </w:r>
      <w:r>
        <w:rPr>
          <w:rFonts w:cs="Arial"/>
        </w:rPr>
        <w:t>arterly</w:t>
      </w:r>
      <w:r w:rsidRPr="00597EF0">
        <w:rPr>
          <w:rFonts w:cs="Arial"/>
        </w:rPr>
        <w:t xml:space="preserve"> health checks; the annual </w:t>
      </w:r>
      <w:r>
        <w:rPr>
          <w:rFonts w:cs="Arial"/>
        </w:rPr>
        <w:t xml:space="preserve">production of learner retention and achievement data, down to individual course level; the annual </w:t>
      </w:r>
      <w:r w:rsidRPr="00597EF0">
        <w:rPr>
          <w:rFonts w:cs="Arial"/>
        </w:rPr>
        <w:t>Col</w:t>
      </w:r>
      <w:r>
        <w:rPr>
          <w:rFonts w:cs="Arial"/>
        </w:rPr>
        <w:t xml:space="preserve">lege Development Planning </w:t>
      </w:r>
      <w:r w:rsidRPr="00597EF0">
        <w:rPr>
          <w:rFonts w:cs="Arial"/>
        </w:rPr>
        <w:t>process; and the Quality Managers’ Forum.  The quality of each college’s provision is subject to a whole college inspection carried out by the Education and Training</w:t>
      </w:r>
      <w:r>
        <w:rPr>
          <w:rFonts w:cs="Arial"/>
        </w:rPr>
        <w:t xml:space="preserve"> Inspectorate</w:t>
      </w:r>
      <w:r w:rsidRPr="00597EF0">
        <w:rPr>
          <w:rFonts w:cs="Arial"/>
        </w:rPr>
        <w:t xml:space="preserve"> once every three years.  Where poor provision is identified, progress towards improvement is monitored through a series of follow-up inspection activities.  Each college is also required to submit to the Department an annual self-evaluation report and quality improvement plan, the accuracy of which is confirmed through a short inspection</w:t>
      </w:r>
      <w:r>
        <w:rPr>
          <w:rFonts w:cs="Arial"/>
        </w:rPr>
        <w:t>, also by the Education and Training Inspectorate.</w:t>
      </w:r>
    </w:p>
    <w:p w:rsidR="00BA3AB2" w:rsidRPr="00597EF0" w:rsidRDefault="00BA3AB2" w:rsidP="007B5774">
      <w:pPr>
        <w:pStyle w:val="ListParagraph"/>
        <w:ind w:left="1080"/>
        <w:jc w:val="both"/>
        <w:rPr>
          <w:sz w:val="24"/>
          <w:szCs w:val="24"/>
        </w:rPr>
      </w:pPr>
    </w:p>
    <w:p w:rsidR="00BA3AB2" w:rsidRPr="0019607A" w:rsidRDefault="00BA3AB2" w:rsidP="007B5774">
      <w:pPr>
        <w:pStyle w:val="ListParagraph"/>
        <w:numPr>
          <w:ilvl w:val="0"/>
          <w:numId w:val="3"/>
        </w:numPr>
        <w:jc w:val="both"/>
        <w:rPr>
          <w:sz w:val="24"/>
          <w:szCs w:val="24"/>
          <w:u w:val="single"/>
        </w:rPr>
      </w:pPr>
      <w:r w:rsidRPr="0019607A">
        <w:rPr>
          <w:sz w:val="24"/>
          <w:szCs w:val="24"/>
          <w:u w:val="single"/>
        </w:rPr>
        <w:t>Quality and Performance Monitoring in Higher Education</w:t>
      </w:r>
    </w:p>
    <w:p w:rsidR="00BA3AB2" w:rsidRPr="00DA6838" w:rsidRDefault="00BA3AB2" w:rsidP="007B5774">
      <w:pPr>
        <w:pStyle w:val="ListParagraph"/>
        <w:ind w:left="1080"/>
        <w:jc w:val="both"/>
        <w:rPr>
          <w:rFonts w:cs="Arial"/>
        </w:rPr>
      </w:pPr>
      <w:r w:rsidRPr="00DA6838">
        <w:rPr>
          <w:rFonts w:cs="Arial"/>
        </w:rPr>
        <w:t xml:space="preserve">The Department charges the </w:t>
      </w:r>
      <w:r>
        <w:rPr>
          <w:rFonts w:cs="Arial"/>
        </w:rPr>
        <w:t xml:space="preserve">independent </w:t>
      </w:r>
      <w:r w:rsidRPr="00DA6838">
        <w:rPr>
          <w:rFonts w:cs="Arial"/>
        </w:rPr>
        <w:t xml:space="preserve">Quality Assurance Agency for Higher Education (QAA) to undertake the quality assurance of Higher Education in </w:t>
      </w:r>
      <w:smartTag w:uri="urn:schemas-microsoft-com:office:smarttags" w:element="country-region">
        <w:smartTag w:uri="urn:schemas-microsoft-com:office:smarttags" w:element="place">
          <w:r w:rsidRPr="00DA6838">
            <w:rPr>
              <w:rFonts w:cs="Arial"/>
            </w:rPr>
            <w:t>Northern Ireland</w:t>
          </w:r>
        </w:smartTag>
      </w:smartTag>
      <w:r w:rsidRPr="00DA6838">
        <w:rPr>
          <w:rFonts w:cs="Arial"/>
        </w:rPr>
        <w:t xml:space="preserve"> including that delivered through the six Further Education Colleges (HE in FE).</w:t>
      </w:r>
      <w:r>
        <w:rPr>
          <w:rFonts w:cs="Arial"/>
        </w:rPr>
        <w:t xml:space="preserve"> The QAA’s</w:t>
      </w:r>
      <w:r w:rsidRPr="00DA6838">
        <w:rPr>
          <w:rFonts w:cs="Arial"/>
        </w:rPr>
        <w:t xml:space="preserve"> core business is to </w:t>
      </w:r>
      <w:r w:rsidR="003D03A9">
        <w:rPr>
          <w:rFonts w:cs="Arial"/>
        </w:rPr>
        <w:lastRenderedPageBreak/>
        <w:t xml:space="preserve">externally </w:t>
      </w:r>
      <w:r w:rsidRPr="00DA6838">
        <w:rPr>
          <w:rFonts w:cs="Arial"/>
        </w:rPr>
        <w:t>review the quality and standards of UK higher education.  It does this by auditing the way in which each university and college manages the overall quality and standards of its provision</w:t>
      </w:r>
      <w:r>
        <w:rPr>
          <w:rFonts w:cs="Arial"/>
        </w:rPr>
        <w:t>. It</w:t>
      </w:r>
      <w:r w:rsidRPr="00DA6838">
        <w:rPr>
          <w:rFonts w:cs="Arial"/>
        </w:rPr>
        <w:t xml:space="preserve"> review</w:t>
      </w:r>
      <w:r>
        <w:rPr>
          <w:rFonts w:cs="Arial"/>
        </w:rPr>
        <w:t>s the</w:t>
      </w:r>
      <w:r w:rsidRPr="00DA6838">
        <w:rPr>
          <w:rFonts w:cs="Arial"/>
        </w:rPr>
        <w:t xml:space="preserve"> academic </w:t>
      </w:r>
      <w:r w:rsidR="009B56EC" w:rsidRPr="00DA6838">
        <w:rPr>
          <w:rFonts w:cs="Arial"/>
        </w:rPr>
        <w:t>standards,</w:t>
      </w:r>
      <w:r w:rsidRPr="00DA6838">
        <w:rPr>
          <w:rFonts w:cs="Arial"/>
        </w:rPr>
        <w:t xml:space="preserve"> </w:t>
      </w:r>
      <w:r w:rsidR="003D03A9">
        <w:rPr>
          <w:rFonts w:cs="Arial"/>
        </w:rPr>
        <w:t xml:space="preserve">academic </w:t>
      </w:r>
      <w:r w:rsidRPr="00DA6838">
        <w:rPr>
          <w:rFonts w:cs="Arial"/>
        </w:rPr>
        <w:t xml:space="preserve">quality and </w:t>
      </w:r>
      <w:r w:rsidR="00ED7AE4">
        <w:rPr>
          <w:rFonts w:cs="Arial"/>
        </w:rPr>
        <w:t xml:space="preserve">the quality of </w:t>
      </w:r>
      <w:r w:rsidRPr="00DA6838">
        <w:rPr>
          <w:rFonts w:cs="Arial"/>
        </w:rPr>
        <w:t xml:space="preserve">learning </w:t>
      </w:r>
      <w:r w:rsidR="0017698F">
        <w:rPr>
          <w:rFonts w:cs="Arial"/>
        </w:rPr>
        <w:t>opportunities</w:t>
      </w:r>
      <w:r>
        <w:rPr>
          <w:rFonts w:cs="Arial"/>
        </w:rPr>
        <w:t xml:space="preserve">. </w:t>
      </w:r>
      <w:r w:rsidRPr="00DA6838">
        <w:rPr>
          <w:rFonts w:cs="Arial"/>
        </w:rPr>
        <w:t>The focused work of the QAA is f</w:t>
      </w:r>
      <w:r>
        <w:rPr>
          <w:rFonts w:cs="Arial"/>
        </w:rPr>
        <w:t>urther complemented by regular a</w:t>
      </w:r>
      <w:r w:rsidRPr="00DA6838">
        <w:rPr>
          <w:rFonts w:cs="Arial"/>
        </w:rPr>
        <w:t>ccountability meetings between senior staff in the Department and the local higher education institutions. These provide an opportunity to discuss issues on the performance, operation and accountability of each institution</w:t>
      </w:r>
      <w:r>
        <w:rPr>
          <w:rFonts w:cs="Arial"/>
        </w:rPr>
        <w:t>.</w:t>
      </w:r>
    </w:p>
    <w:p w:rsidR="00BA3AB2" w:rsidRPr="00DA6838" w:rsidRDefault="00BA3AB2" w:rsidP="007B5774">
      <w:pPr>
        <w:pStyle w:val="ListParagraph"/>
        <w:ind w:left="1080"/>
        <w:jc w:val="both"/>
        <w:rPr>
          <w:rFonts w:cs="Arial"/>
        </w:rPr>
      </w:pPr>
    </w:p>
    <w:p w:rsidR="00BA3AB2" w:rsidRPr="0019607A" w:rsidRDefault="00BA3AB2" w:rsidP="007B5774">
      <w:pPr>
        <w:pStyle w:val="ListParagraph"/>
        <w:numPr>
          <w:ilvl w:val="0"/>
          <w:numId w:val="3"/>
        </w:numPr>
        <w:jc w:val="both"/>
        <w:rPr>
          <w:sz w:val="24"/>
          <w:szCs w:val="24"/>
          <w:u w:val="single"/>
        </w:rPr>
      </w:pPr>
      <w:r w:rsidRPr="0019607A">
        <w:rPr>
          <w:sz w:val="24"/>
          <w:szCs w:val="24"/>
          <w:u w:val="single"/>
        </w:rPr>
        <w:t>Quality and Performance Monitoring of Training and Employment Programmes</w:t>
      </w:r>
    </w:p>
    <w:p w:rsidR="00BA3AB2" w:rsidRPr="00B80ABD" w:rsidRDefault="00BA3AB2" w:rsidP="007B5774">
      <w:pPr>
        <w:pStyle w:val="ListParagraph"/>
        <w:ind w:left="1080"/>
        <w:jc w:val="both"/>
        <w:rPr>
          <w:sz w:val="24"/>
          <w:szCs w:val="24"/>
        </w:rPr>
      </w:pPr>
      <w:r>
        <w:rPr>
          <w:rFonts w:cs="Arial"/>
        </w:rPr>
        <w:t>The Department monitors c</w:t>
      </w:r>
      <w:r w:rsidRPr="00B80ABD">
        <w:rPr>
          <w:rFonts w:cs="Arial"/>
        </w:rPr>
        <w:t xml:space="preserve">ontracts on a regular basis to ensure training suppliers </w:t>
      </w:r>
      <w:r>
        <w:rPr>
          <w:rFonts w:cs="Arial"/>
        </w:rPr>
        <w:t>(</w:t>
      </w:r>
      <w:r w:rsidRPr="00B80ABD">
        <w:rPr>
          <w:rFonts w:cs="Arial"/>
        </w:rPr>
        <w:t>and lead contractors for Steps to Work</w:t>
      </w:r>
      <w:r>
        <w:rPr>
          <w:rFonts w:cs="Arial"/>
        </w:rPr>
        <w:t>)</w:t>
      </w:r>
      <w:r w:rsidRPr="00B80ABD">
        <w:rPr>
          <w:rFonts w:cs="Arial"/>
        </w:rPr>
        <w:t xml:space="preserve"> are adhering to the terms of their contract and to the operational guidelines for the programme.</w:t>
      </w:r>
      <w:r>
        <w:rPr>
          <w:rFonts w:cs="Arial"/>
        </w:rPr>
        <w:t xml:space="preserve"> It also </w:t>
      </w:r>
      <w:r w:rsidRPr="00B80ABD">
        <w:rPr>
          <w:rFonts w:cs="Arial"/>
        </w:rPr>
        <w:t>works closely with the Education and Training Inspectorate to schedule inspection activities normally on a three year cycle.  As with further education, poor provision is subject to a series of follow-up inspection activities</w:t>
      </w:r>
      <w:r>
        <w:rPr>
          <w:rFonts w:cs="Arial"/>
        </w:rPr>
        <w:t xml:space="preserve">. </w:t>
      </w:r>
      <w:r w:rsidRPr="00B80ABD">
        <w:rPr>
          <w:rFonts w:cs="Arial"/>
        </w:rPr>
        <w:t>Each training supplier and Steps to Work lead contractor is requested to submit an annual self-evaluation report and quality improvement plan, the accuracy of which is confirmed by the Inspectorate</w:t>
      </w:r>
      <w:r>
        <w:rPr>
          <w:rFonts w:cs="Arial"/>
        </w:rPr>
        <w:t xml:space="preserve">. In addition, </w:t>
      </w:r>
      <w:r w:rsidRPr="00B80ABD">
        <w:rPr>
          <w:rFonts w:cs="Arial"/>
        </w:rPr>
        <w:t xml:space="preserve">the Department holds an annual case conference to review the performance of each </w:t>
      </w:r>
      <w:proofErr w:type="gramStart"/>
      <w:r w:rsidRPr="00B80ABD">
        <w:rPr>
          <w:rFonts w:cs="Arial"/>
        </w:rPr>
        <w:t>Steps</w:t>
      </w:r>
      <w:proofErr w:type="gramEnd"/>
      <w:r w:rsidRPr="00B80ABD">
        <w:rPr>
          <w:rFonts w:cs="Arial"/>
        </w:rPr>
        <w:t xml:space="preserve"> to Work lead contractor to determine if their contract is to continue for the next financial year or alternatively what remedial action/sanctions are to be applied</w:t>
      </w:r>
      <w:r>
        <w:rPr>
          <w:rFonts w:cs="Arial"/>
        </w:rPr>
        <w:t>.</w:t>
      </w:r>
    </w:p>
    <w:p w:rsidR="00BA3AB2" w:rsidRDefault="00BA3AB2" w:rsidP="007B5774">
      <w:pPr>
        <w:pStyle w:val="ListParagraph"/>
        <w:ind w:left="360"/>
        <w:jc w:val="both"/>
        <w:rPr>
          <w:sz w:val="24"/>
          <w:szCs w:val="24"/>
        </w:rPr>
      </w:pPr>
    </w:p>
    <w:p w:rsidR="00BA3AB2" w:rsidRDefault="00BA3AB2" w:rsidP="007B5774">
      <w:pPr>
        <w:pStyle w:val="ListParagraph"/>
        <w:numPr>
          <w:ilvl w:val="0"/>
          <w:numId w:val="2"/>
        </w:numPr>
        <w:jc w:val="both"/>
        <w:rPr>
          <w:rFonts w:cs="Arial"/>
        </w:rPr>
      </w:pPr>
      <w:r>
        <w:rPr>
          <w:rFonts w:cs="Arial"/>
        </w:rPr>
        <w:t>The Department places a high priority on the quality of provision across further education, training and employment programmes.  Where poor provision is identified, each provider is afforded an opportunity to improve.  They must submit a detailed improvement plan to the Department outlining how they intend to address the areas of weakness identified.  The implementation of this plan is monitored by the Inspectorate who also carries out the above mentioned follow-up inspection activities.  As a result of these processes, almost all colleges and providers address effectively weaknesses in provision and most demonstrate significant improvement.  The Department monitors the sustainability of improvement through the annual self-evaluation process and through contract monitoring activities, where appropriate. Where a provider fails to make the necessary improvements within the agreed timescale, the Department terminates the contract.</w:t>
      </w:r>
    </w:p>
    <w:p w:rsidR="00BA3AB2" w:rsidRPr="00A05455" w:rsidRDefault="00BA3AB2" w:rsidP="007B5774">
      <w:pPr>
        <w:pStyle w:val="ListParagraph"/>
        <w:ind w:left="360"/>
        <w:jc w:val="both"/>
        <w:rPr>
          <w:sz w:val="24"/>
          <w:szCs w:val="24"/>
        </w:rPr>
      </w:pPr>
    </w:p>
    <w:p w:rsidR="00BA3AB2" w:rsidRPr="00042D84" w:rsidRDefault="00BA3AB2" w:rsidP="007B5774">
      <w:pPr>
        <w:pStyle w:val="ListParagraph"/>
        <w:numPr>
          <w:ilvl w:val="0"/>
          <w:numId w:val="2"/>
        </w:numPr>
        <w:jc w:val="both"/>
        <w:rPr>
          <w:sz w:val="24"/>
          <w:szCs w:val="24"/>
        </w:rPr>
      </w:pPr>
      <w:r w:rsidRPr="00A05455">
        <w:rPr>
          <w:rFonts w:cs="Arial"/>
        </w:rPr>
        <w:t xml:space="preserve">The latest DEL Performance </w:t>
      </w:r>
      <w:r w:rsidR="00EF73C9">
        <w:rPr>
          <w:rFonts w:cs="Arial"/>
        </w:rPr>
        <w:t xml:space="preserve">Analysis </w:t>
      </w:r>
      <w:r w:rsidRPr="00A05455">
        <w:rPr>
          <w:rFonts w:cs="Arial"/>
        </w:rPr>
        <w:t>report provides an update on a range of important performance indicators right across the spectrum of DEL provision</w:t>
      </w:r>
      <w:r>
        <w:rPr>
          <w:rFonts w:cs="Arial"/>
        </w:rPr>
        <w:t xml:space="preserve">, reflecting its commitments around skills, employment and </w:t>
      </w:r>
      <w:r w:rsidRPr="00AE5996">
        <w:rPr>
          <w:rFonts w:cs="Arial"/>
        </w:rPr>
        <w:t>innovation</w:t>
      </w:r>
      <w:r w:rsidR="00AE5996" w:rsidRPr="00AE5996">
        <w:rPr>
          <w:rFonts w:cs="Arial"/>
        </w:rPr>
        <w:t>.  It highlights that o</w:t>
      </w:r>
      <w:r w:rsidR="00AE5996" w:rsidRPr="00AE5996">
        <w:t>utputs on measures such as delivering qualifications and moving people into employment have been better in the last three years than in any other three year period since the Department was formed</w:t>
      </w:r>
      <w:r w:rsidRPr="00AE5996">
        <w:rPr>
          <w:rFonts w:cs="Arial"/>
        </w:rPr>
        <w:t xml:space="preserve">. It </w:t>
      </w:r>
      <w:r w:rsidR="00AE5996" w:rsidRPr="00AE5996">
        <w:rPr>
          <w:rFonts w:cs="Arial"/>
        </w:rPr>
        <w:t xml:space="preserve">also </w:t>
      </w:r>
      <w:r w:rsidRPr="00AE5996">
        <w:rPr>
          <w:rFonts w:cs="Arial"/>
        </w:rPr>
        <w:t>illustrates</w:t>
      </w:r>
      <w:r w:rsidRPr="00BF34CA">
        <w:rPr>
          <w:rFonts w:cs="Arial"/>
        </w:rPr>
        <w:t xml:space="preserve"> the progress that the Department has made against its Quality Improvement </w:t>
      </w:r>
      <w:proofErr w:type="gramStart"/>
      <w:r w:rsidRPr="00BF34CA">
        <w:rPr>
          <w:rFonts w:cs="Arial"/>
        </w:rPr>
        <w:t>Strategy</w:t>
      </w:r>
      <w:r w:rsidR="00AE5996">
        <w:rPr>
          <w:rFonts w:cs="Arial"/>
        </w:rPr>
        <w:t xml:space="preserve"> </w:t>
      </w:r>
      <w:r w:rsidRPr="00BF34CA">
        <w:rPr>
          <w:rFonts w:cs="Arial"/>
        </w:rPr>
        <w:t xml:space="preserve"> but</w:t>
      </w:r>
      <w:proofErr w:type="gramEnd"/>
      <w:r w:rsidRPr="00BF34CA">
        <w:rPr>
          <w:rFonts w:cs="Arial"/>
        </w:rPr>
        <w:t xml:space="preserve"> also highlights the challenges that remain</w:t>
      </w:r>
      <w:r>
        <w:rPr>
          <w:rFonts w:cs="Arial"/>
        </w:rPr>
        <w:t xml:space="preserve">. It is in response to these challenges that the Department has developed this action plan, to complement and strengthen its existing quality and </w:t>
      </w:r>
      <w:r>
        <w:rPr>
          <w:rFonts w:cs="Arial"/>
        </w:rPr>
        <w:lastRenderedPageBreak/>
        <w:t xml:space="preserve">performance framework. </w:t>
      </w:r>
      <w:r w:rsidRPr="00BF34CA">
        <w:rPr>
          <w:rFonts w:cs="Arial"/>
        </w:rPr>
        <w:t xml:space="preserve">The action plan </w:t>
      </w:r>
      <w:r w:rsidR="008255CB">
        <w:rPr>
          <w:rFonts w:cs="Arial"/>
        </w:rPr>
        <w:t xml:space="preserve">monitors progress on the implementation of actions already identified and </w:t>
      </w:r>
      <w:r w:rsidRPr="00BF34CA">
        <w:rPr>
          <w:rFonts w:cs="Arial"/>
        </w:rPr>
        <w:t>sets out the</w:t>
      </w:r>
      <w:r>
        <w:rPr>
          <w:rFonts w:cs="Arial"/>
        </w:rPr>
        <w:t xml:space="preserve"> work the Department will take</w:t>
      </w:r>
      <w:r w:rsidRPr="00BF34CA">
        <w:rPr>
          <w:rFonts w:cs="Arial"/>
        </w:rPr>
        <w:t xml:space="preserve"> forward </w:t>
      </w:r>
      <w:r>
        <w:rPr>
          <w:rFonts w:cs="Arial"/>
        </w:rPr>
        <w:t xml:space="preserve">to address </w:t>
      </w:r>
      <w:r w:rsidR="008255CB">
        <w:rPr>
          <w:rFonts w:cs="Arial"/>
        </w:rPr>
        <w:t>remaining challenges</w:t>
      </w:r>
      <w:r>
        <w:rPr>
          <w:rFonts w:cs="Arial"/>
        </w:rPr>
        <w:t>.</w:t>
      </w:r>
    </w:p>
    <w:p w:rsidR="00BA3AB2" w:rsidRPr="00042D84" w:rsidRDefault="00BA3AB2" w:rsidP="007B5774">
      <w:pPr>
        <w:pStyle w:val="ListParagraph"/>
        <w:ind w:left="360"/>
        <w:jc w:val="both"/>
        <w:rPr>
          <w:sz w:val="24"/>
          <w:szCs w:val="24"/>
        </w:rPr>
      </w:pPr>
    </w:p>
    <w:p w:rsidR="00BA3AB2" w:rsidRPr="00BF34CA" w:rsidRDefault="00BA3AB2" w:rsidP="007B5774">
      <w:pPr>
        <w:pStyle w:val="ListParagraph"/>
        <w:numPr>
          <w:ilvl w:val="0"/>
          <w:numId w:val="2"/>
        </w:numPr>
        <w:jc w:val="both"/>
        <w:rPr>
          <w:sz w:val="24"/>
          <w:szCs w:val="24"/>
        </w:rPr>
      </w:pPr>
      <w:r>
        <w:rPr>
          <w:sz w:val="24"/>
          <w:szCs w:val="24"/>
        </w:rPr>
        <w:t xml:space="preserve">The Quality and Performance Action Plan will </w:t>
      </w:r>
      <w:r w:rsidR="008255CB">
        <w:rPr>
          <w:sz w:val="24"/>
          <w:szCs w:val="24"/>
        </w:rPr>
        <w:t xml:space="preserve">continue to </w:t>
      </w:r>
      <w:r>
        <w:rPr>
          <w:sz w:val="24"/>
          <w:szCs w:val="24"/>
        </w:rPr>
        <w:t>be monitored regularly and an update on progress will be published as part of the Department’s annual performance reporting cycle.</w:t>
      </w:r>
    </w:p>
    <w:p w:rsidR="00BA3AB2" w:rsidRDefault="00BA3AB2" w:rsidP="00A05455">
      <w:pPr>
        <w:pStyle w:val="ListParagraph"/>
        <w:ind w:left="360"/>
        <w:rPr>
          <w:sz w:val="24"/>
          <w:szCs w:val="24"/>
        </w:rPr>
      </w:pPr>
    </w:p>
    <w:p w:rsidR="00BA3AB2" w:rsidRPr="00BF5DFF" w:rsidRDefault="00445620" w:rsidP="00B75E32">
      <w:pPr>
        <w:pStyle w:val="ListParagraph"/>
        <w:numPr>
          <w:ilvl w:val="0"/>
          <w:numId w:val="10"/>
        </w:numPr>
        <w:rPr>
          <w:b/>
          <w:bCs/>
          <w:color w:val="000000"/>
          <w:sz w:val="24"/>
          <w:szCs w:val="24"/>
          <w:lang w:eastAsia="en-GB"/>
        </w:rPr>
      </w:pPr>
      <w:r>
        <w:rPr>
          <w:sz w:val="24"/>
          <w:szCs w:val="24"/>
        </w:rPr>
        <w:br w:type="page"/>
      </w:r>
      <w:r w:rsidR="00BA3AB2" w:rsidRPr="00BF5DFF">
        <w:rPr>
          <w:b/>
          <w:bCs/>
          <w:color w:val="000000"/>
          <w:sz w:val="24"/>
          <w:szCs w:val="24"/>
          <w:lang w:eastAsia="en-GB"/>
        </w:rPr>
        <w:lastRenderedPageBreak/>
        <w:t>Skills</w:t>
      </w:r>
    </w:p>
    <w:p w:rsidR="00BA3AB2" w:rsidRPr="00BF5DFF" w:rsidRDefault="00BA3AB2" w:rsidP="0010132E">
      <w:pPr>
        <w:pStyle w:val="ListParagraph"/>
        <w:spacing w:after="0" w:line="240" w:lineRule="auto"/>
        <w:ind w:left="360"/>
        <w:rPr>
          <w:b/>
          <w:bCs/>
          <w:color w:val="000000"/>
          <w:sz w:val="24"/>
          <w:szCs w:val="24"/>
          <w:lang w:eastAsia="en-GB"/>
        </w:rPr>
      </w:pPr>
    </w:p>
    <w:p w:rsidR="00BA3AB2" w:rsidRDefault="00BA3AB2" w:rsidP="009A1D75">
      <w:pPr>
        <w:pStyle w:val="ListParagraph"/>
        <w:spacing w:after="0" w:line="360" w:lineRule="auto"/>
        <w:ind w:left="360"/>
        <w:rPr>
          <w:b/>
        </w:rPr>
      </w:pPr>
      <w:r>
        <w:rPr>
          <w:b/>
          <w:bCs/>
          <w:color w:val="000000"/>
          <w:sz w:val="24"/>
          <w:szCs w:val="24"/>
          <w:lang w:eastAsia="en-GB"/>
        </w:rPr>
        <w:t xml:space="preserve">A.1. </w:t>
      </w:r>
      <w:r w:rsidRPr="002D309A">
        <w:rPr>
          <w:b/>
          <w:sz w:val="24"/>
          <w:szCs w:val="24"/>
        </w:rPr>
        <w:t>Delivering over 200,000 qualifications at Level 2 and above by 2015</w:t>
      </w:r>
      <w:r>
        <w:rPr>
          <w:b/>
        </w:rPr>
        <w:t xml:space="preserve"> </w:t>
      </w:r>
    </w:p>
    <w:tbl>
      <w:tblPr>
        <w:tblW w:w="14709" w:type="dxa"/>
        <w:tblLayout w:type="fixed"/>
        <w:tblLook w:val="04A0"/>
      </w:tblPr>
      <w:tblGrid>
        <w:gridCol w:w="3369"/>
        <w:gridCol w:w="2693"/>
        <w:gridCol w:w="3260"/>
        <w:gridCol w:w="2835"/>
        <w:gridCol w:w="1134"/>
        <w:gridCol w:w="1418"/>
      </w:tblGrid>
      <w:tr w:rsidR="007B5774" w:rsidRPr="00445620" w:rsidTr="007B5774">
        <w:trPr>
          <w:trHeight w:val="596"/>
          <w:tblHeader/>
        </w:trPr>
        <w:tc>
          <w:tcPr>
            <w:tcW w:w="336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Key Issue</w:t>
            </w:r>
          </w:p>
        </w:tc>
        <w:tc>
          <w:tcPr>
            <w:tcW w:w="2693" w:type="dxa"/>
            <w:tcBorders>
              <w:top w:val="single" w:sz="4" w:space="0" w:color="auto"/>
              <w:left w:val="nil"/>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 xml:space="preserve">Planned Action from 2013 </w:t>
            </w:r>
            <w:r w:rsidR="00F83A90">
              <w:rPr>
                <w:rFonts w:eastAsia="Times New Roman"/>
                <w:b/>
                <w:bCs/>
                <w:color w:val="000000"/>
                <w:lang w:eastAsia="en-GB"/>
              </w:rPr>
              <w:t xml:space="preserve">Action Plan </w:t>
            </w:r>
            <w:r w:rsidRPr="00445620">
              <w:rPr>
                <w:rFonts w:eastAsia="Times New Roman"/>
                <w:b/>
                <w:bCs/>
                <w:color w:val="000000"/>
                <w:lang w:eastAsia="en-GB"/>
              </w:rPr>
              <w:t>Report</w:t>
            </w:r>
          </w:p>
        </w:tc>
        <w:tc>
          <w:tcPr>
            <w:tcW w:w="3260" w:type="dxa"/>
            <w:tcBorders>
              <w:top w:val="single" w:sz="4" w:space="0" w:color="auto"/>
              <w:left w:val="nil"/>
              <w:bottom w:val="single" w:sz="4" w:space="0" w:color="auto"/>
              <w:right w:val="triple" w:sz="4" w:space="0" w:color="auto"/>
            </w:tcBorders>
            <w:shd w:val="clear" w:color="000000" w:fill="A5A5A5"/>
            <w:vAlign w:val="bottom"/>
            <w:hideMark/>
          </w:tcPr>
          <w:p w:rsidR="00445620" w:rsidRPr="00445620" w:rsidRDefault="00445620" w:rsidP="00F83A90">
            <w:pPr>
              <w:spacing w:after="0" w:line="240" w:lineRule="auto"/>
              <w:rPr>
                <w:rFonts w:eastAsia="Times New Roman"/>
                <w:b/>
                <w:bCs/>
                <w:color w:val="000000"/>
                <w:lang w:eastAsia="en-GB"/>
              </w:rPr>
            </w:pPr>
            <w:r w:rsidRPr="00445620">
              <w:rPr>
                <w:rFonts w:eastAsia="Times New Roman"/>
                <w:b/>
                <w:bCs/>
                <w:color w:val="000000"/>
                <w:lang w:eastAsia="en-GB"/>
              </w:rPr>
              <w:t>Progress</w:t>
            </w:r>
            <w:r w:rsidR="00F83A90">
              <w:rPr>
                <w:rFonts w:eastAsia="Times New Roman"/>
                <w:b/>
                <w:bCs/>
                <w:color w:val="000000"/>
                <w:lang w:eastAsia="en-GB"/>
              </w:rPr>
              <w:t xml:space="preserve"> Against</w:t>
            </w:r>
            <w:r w:rsidRPr="00445620">
              <w:rPr>
                <w:rFonts w:eastAsia="Times New Roman"/>
                <w:b/>
                <w:bCs/>
                <w:color w:val="000000"/>
                <w:lang w:eastAsia="en-GB"/>
              </w:rPr>
              <w:t xml:space="preserve"> 2013 planned action</w:t>
            </w:r>
          </w:p>
        </w:tc>
        <w:tc>
          <w:tcPr>
            <w:tcW w:w="2835" w:type="dxa"/>
            <w:tcBorders>
              <w:top w:val="single" w:sz="4" w:space="0" w:color="auto"/>
              <w:left w:val="triple" w:sz="4" w:space="0" w:color="auto"/>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Further Actions Planned from 2014</w:t>
            </w:r>
          </w:p>
        </w:tc>
        <w:tc>
          <w:tcPr>
            <w:tcW w:w="1134" w:type="dxa"/>
            <w:tcBorders>
              <w:top w:val="single" w:sz="4" w:space="0" w:color="auto"/>
              <w:left w:val="nil"/>
              <w:bottom w:val="single" w:sz="4" w:space="0" w:color="auto"/>
              <w:right w:val="single" w:sz="4" w:space="0" w:color="auto"/>
            </w:tcBorders>
            <w:shd w:val="clear" w:color="000000" w:fill="A5A5A5"/>
            <w:noWrap/>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Timescale</w:t>
            </w:r>
          </w:p>
        </w:tc>
        <w:tc>
          <w:tcPr>
            <w:tcW w:w="1418" w:type="dxa"/>
            <w:tcBorders>
              <w:top w:val="single" w:sz="4" w:space="0" w:color="auto"/>
              <w:left w:val="nil"/>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Responsible Divisions</w:t>
            </w:r>
          </w:p>
        </w:tc>
      </w:tr>
      <w:tr w:rsidR="007B5774" w:rsidRPr="00445620" w:rsidTr="007B5774">
        <w:trPr>
          <w:trHeight w:val="665"/>
        </w:trPr>
        <w:tc>
          <w:tcPr>
            <w:tcW w:w="3369" w:type="dxa"/>
            <w:tcBorders>
              <w:top w:val="nil"/>
              <w:left w:val="single" w:sz="4" w:space="0" w:color="auto"/>
              <w:bottom w:val="single" w:sz="4" w:space="0" w:color="000000"/>
              <w:right w:val="single" w:sz="4" w:space="0" w:color="auto"/>
            </w:tcBorders>
            <w:shd w:val="clear" w:color="000000" w:fill="D8D8D8"/>
            <w:hideMark/>
          </w:tcPr>
          <w:p w:rsidR="00F83A9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The Department has exceeded  its Programme for Government qualifications commitment; in the 2012/13 academic year there were almost  79,000 Level 2 and above full qualifications gained across mainstream Further Education, Essential Skills, funded Departmental Training programmes, and HE (including HE in FE) -</w:t>
            </w:r>
            <w:r w:rsidR="00025938">
              <w:rPr>
                <w:rFonts w:eastAsia="Times New Roman"/>
                <w:b/>
                <w:bCs/>
                <w:color w:val="000000"/>
                <w:lang w:eastAsia="en-GB"/>
              </w:rPr>
              <w:t xml:space="preserve"> </w:t>
            </w:r>
            <w:r w:rsidRPr="00445620">
              <w:rPr>
                <w:rFonts w:eastAsia="Times New Roman"/>
                <w:b/>
                <w:bCs/>
                <w:color w:val="000000"/>
                <w:lang w:eastAsia="en-GB"/>
              </w:rPr>
              <w:t xml:space="preserve">against a target of 53,000. This represents 7.5% growth from the qualifications gained in 2011/12. In total, the Department has delivered 218,000 qualifications at Level 2 and above in the three years from 2010/11 to 2012/13. </w:t>
            </w:r>
          </w:p>
          <w:p w:rsidR="00F83A90" w:rsidRDefault="00F83A90" w:rsidP="00445620">
            <w:pPr>
              <w:spacing w:after="0" w:line="240" w:lineRule="auto"/>
              <w:rPr>
                <w:rFonts w:eastAsia="Times New Roman"/>
                <w:b/>
                <w:bCs/>
                <w:color w:val="000000"/>
                <w:lang w:eastAsia="en-GB"/>
              </w:rPr>
            </w:pPr>
          </w:p>
          <w:p w:rsidR="00445620" w:rsidRPr="00445620" w:rsidRDefault="00F83A90" w:rsidP="00445620">
            <w:pPr>
              <w:spacing w:after="0" w:line="240" w:lineRule="auto"/>
              <w:rPr>
                <w:rFonts w:eastAsia="Times New Roman"/>
                <w:b/>
                <w:bCs/>
                <w:color w:val="000000"/>
                <w:lang w:eastAsia="en-GB"/>
              </w:rPr>
            </w:pPr>
            <w:r w:rsidRPr="00445620">
              <w:rPr>
                <w:rFonts w:eastAsia="Times New Roman"/>
                <w:b/>
                <w:bCs/>
                <w:color w:val="000000"/>
                <w:lang w:eastAsia="en-GB"/>
              </w:rPr>
              <w:t xml:space="preserve">However, enrolments in HE in FE provision have fallen in recent years, which could impact negatively on the number of qualifications achieved in </w:t>
            </w:r>
            <w:r>
              <w:rPr>
                <w:rFonts w:eastAsia="Times New Roman"/>
                <w:b/>
                <w:bCs/>
                <w:color w:val="000000"/>
                <w:lang w:eastAsia="en-GB"/>
              </w:rPr>
              <w:t xml:space="preserve">that area in </w:t>
            </w:r>
            <w:r w:rsidRPr="00445620">
              <w:rPr>
                <w:rFonts w:eastAsia="Times New Roman"/>
                <w:b/>
                <w:bCs/>
                <w:color w:val="000000"/>
                <w:lang w:eastAsia="en-GB"/>
              </w:rPr>
              <w:t>the future.</w:t>
            </w:r>
          </w:p>
        </w:tc>
        <w:tc>
          <w:tcPr>
            <w:tcW w:w="2693" w:type="dxa"/>
            <w:tcBorders>
              <w:top w:val="nil"/>
              <w:left w:val="nil"/>
              <w:bottom w:val="single" w:sz="4" w:space="0" w:color="auto"/>
              <w:right w:val="single" w:sz="4" w:space="0" w:color="auto"/>
            </w:tcBorders>
            <w:shd w:val="clear" w:color="000000" w:fill="D8D8D8"/>
            <w:hideMark/>
          </w:tcPr>
          <w:p w:rsidR="00445620" w:rsidRDefault="00445620" w:rsidP="0019384D">
            <w:pPr>
              <w:spacing w:after="0" w:line="240" w:lineRule="auto"/>
              <w:rPr>
                <w:rFonts w:eastAsia="Times New Roman"/>
                <w:color w:val="000000"/>
                <w:lang w:eastAsia="en-GB"/>
              </w:rPr>
            </w:pPr>
            <w:r w:rsidRPr="00445620">
              <w:rPr>
                <w:rFonts w:eastAsia="Times New Roman"/>
                <w:color w:val="000000"/>
                <w:lang w:eastAsia="en-GB"/>
              </w:rPr>
              <w:t xml:space="preserve">Much of the decline relates to falling numbers in part-time </w:t>
            </w:r>
            <w:proofErr w:type="gramStart"/>
            <w:r w:rsidRPr="00445620">
              <w:rPr>
                <w:rFonts w:eastAsia="Times New Roman"/>
                <w:color w:val="000000"/>
                <w:lang w:eastAsia="en-GB"/>
              </w:rPr>
              <w:t>HE</w:t>
            </w:r>
            <w:proofErr w:type="gramEnd"/>
            <w:r w:rsidRPr="00445620">
              <w:rPr>
                <w:rFonts w:eastAsia="Times New Roman"/>
                <w:color w:val="000000"/>
                <w:lang w:eastAsia="en-GB"/>
              </w:rPr>
              <w:t xml:space="preserve"> in FE. Additional work is underway to encourage FE Colleges to increase part-time enrolments in proportion to full-time students.</w:t>
            </w:r>
            <w:r w:rsidR="0019384D">
              <w:rPr>
                <w:rFonts w:eastAsia="Times New Roman"/>
                <w:color w:val="000000"/>
                <w:lang w:eastAsia="en-GB"/>
              </w:rPr>
              <w:t xml:space="preserve">  This includes the </w:t>
            </w:r>
            <w:r w:rsidR="0019384D" w:rsidRPr="00445620">
              <w:rPr>
                <w:rFonts w:eastAsia="Times New Roman"/>
                <w:color w:val="000000"/>
                <w:lang w:eastAsia="en-GB"/>
              </w:rPr>
              <w:t xml:space="preserve">Department </w:t>
            </w:r>
            <w:r w:rsidR="0019384D">
              <w:rPr>
                <w:rFonts w:eastAsia="Times New Roman"/>
                <w:color w:val="000000"/>
                <w:lang w:eastAsia="en-GB"/>
              </w:rPr>
              <w:t>continuing</w:t>
            </w:r>
            <w:r w:rsidR="0019384D" w:rsidRPr="00445620">
              <w:rPr>
                <w:rFonts w:eastAsia="Times New Roman"/>
                <w:color w:val="000000"/>
                <w:lang w:eastAsia="en-GB"/>
              </w:rPr>
              <w:t xml:space="preserve"> to monitor college performance on enrolments and retention and achievements through the College Development Planning (CDP) process.</w:t>
            </w:r>
          </w:p>
          <w:p w:rsidR="0019384D" w:rsidRDefault="0019384D" w:rsidP="0019384D">
            <w:pPr>
              <w:spacing w:after="0" w:line="240" w:lineRule="auto"/>
              <w:rPr>
                <w:rFonts w:eastAsia="Times New Roman"/>
                <w:color w:val="000000"/>
                <w:lang w:eastAsia="en-GB"/>
              </w:rPr>
            </w:pPr>
          </w:p>
          <w:p w:rsidR="0019384D" w:rsidRPr="00445620" w:rsidRDefault="0019384D" w:rsidP="0019384D">
            <w:pPr>
              <w:spacing w:after="0" w:line="240" w:lineRule="auto"/>
              <w:rPr>
                <w:rFonts w:eastAsia="Times New Roman"/>
                <w:color w:val="000000"/>
                <w:lang w:eastAsia="en-GB"/>
              </w:rPr>
            </w:pPr>
            <w:r w:rsidRPr="00445620">
              <w:rPr>
                <w:rFonts w:eastAsia="Times New Roman"/>
                <w:color w:val="000000"/>
                <w:lang w:eastAsia="en-GB"/>
              </w:rPr>
              <w:t>Introduce through the next (2013/14) CDP process a Quality Performance Adjustment process that penalises colleges financially for poor retention and achievement performance.</w:t>
            </w:r>
          </w:p>
        </w:tc>
        <w:tc>
          <w:tcPr>
            <w:tcW w:w="3260" w:type="dxa"/>
            <w:tcBorders>
              <w:top w:val="single" w:sz="4" w:space="0" w:color="auto"/>
              <w:left w:val="nil"/>
              <w:bottom w:val="single" w:sz="4" w:space="0" w:color="auto"/>
              <w:right w:val="triple" w:sz="4" w:space="0" w:color="auto"/>
            </w:tcBorders>
            <w:shd w:val="clear" w:color="000000" w:fill="D8D8D8"/>
            <w:hideMark/>
          </w:tcPr>
          <w:p w:rsidR="00445620" w:rsidRDefault="00445620" w:rsidP="00445620">
            <w:pPr>
              <w:spacing w:after="0" w:line="240" w:lineRule="auto"/>
              <w:rPr>
                <w:rFonts w:eastAsia="Times New Roman"/>
                <w:lang w:eastAsia="en-GB"/>
              </w:rPr>
            </w:pPr>
            <w:r w:rsidRPr="00445620">
              <w:rPr>
                <w:rFonts w:eastAsia="Times New Roman"/>
                <w:lang w:eastAsia="en-GB"/>
              </w:rPr>
              <w:t>Overall enrolments increased during the period.</w:t>
            </w:r>
          </w:p>
          <w:p w:rsidR="0019384D" w:rsidRDefault="0019384D"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F83A90" w:rsidRDefault="00F83A90" w:rsidP="00445620">
            <w:pPr>
              <w:spacing w:after="0" w:line="240" w:lineRule="auto"/>
              <w:rPr>
                <w:rFonts w:eastAsia="Times New Roman"/>
                <w:lang w:eastAsia="en-GB"/>
              </w:rPr>
            </w:pPr>
          </w:p>
          <w:p w:rsidR="00C66D35" w:rsidRDefault="00C66D35" w:rsidP="00445620">
            <w:pPr>
              <w:spacing w:after="0" w:line="240" w:lineRule="auto"/>
              <w:rPr>
                <w:rFonts w:eastAsia="Times New Roman"/>
                <w:lang w:eastAsia="en-GB"/>
              </w:rPr>
            </w:pPr>
          </w:p>
          <w:p w:rsidR="00C66D35" w:rsidRDefault="00C66D35" w:rsidP="00445620">
            <w:pPr>
              <w:spacing w:after="0" w:line="240" w:lineRule="auto"/>
              <w:rPr>
                <w:rFonts w:eastAsia="Times New Roman"/>
                <w:lang w:eastAsia="en-GB"/>
              </w:rPr>
            </w:pPr>
          </w:p>
          <w:p w:rsidR="0019384D" w:rsidRPr="00445620" w:rsidRDefault="0019384D" w:rsidP="00445620">
            <w:pPr>
              <w:spacing w:after="0" w:line="240" w:lineRule="auto"/>
              <w:rPr>
                <w:rFonts w:eastAsia="Times New Roman"/>
                <w:lang w:eastAsia="en-GB"/>
              </w:rPr>
            </w:pPr>
            <w:r w:rsidRPr="00445620">
              <w:rPr>
                <w:rFonts w:eastAsia="Times New Roman"/>
                <w:lang w:eastAsia="en-GB"/>
              </w:rPr>
              <w:t xml:space="preserve">The Quality Performance Adjustment (QPA) was introduced in time to impact on the 2013-14 CDP process and resulting FE recurrent budget allocation. In 2013/14, the QPA related to full-time provision only, but in 2014/15 it will be extended to part-time and “bundled” provision, with the exception of GCSEs and A Levels.  </w:t>
            </w:r>
          </w:p>
        </w:tc>
        <w:tc>
          <w:tcPr>
            <w:tcW w:w="2835" w:type="dxa"/>
            <w:tcBorders>
              <w:top w:val="nil"/>
              <w:left w:val="triple" w:sz="4" w:space="0" w:color="auto"/>
              <w:bottom w:val="single" w:sz="4" w:space="0" w:color="auto"/>
              <w:right w:val="single" w:sz="4" w:space="0" w:color="auto"/>
            </w:tcBorders>
            <w:shd w:val="clear" w:color="000000" w:fill="D8D8D8"/>
            <w:hideMark/>
          </w:tcPr>
          <w:p w:rsidR="00445620" w:rsidRDefault="00445620" w:rsidP="00445620">
            <w:pPr>
              <w:spacing w:after="0" w:line="240" w:lineRule="auto"/>
              <w:rPr>
                <w:rFonts w:eastAsia="Times New Roman"/>
                <w:lang w:eastAsia="en-GB"/>
              </w:rPr>
            </w:pPr>
            <w:r w:rsidRPr="00445620">
              <w:rPr>
                <w:rFonts w:eastAsia="Times New Roman"/>
                <w:lang w:eastAsia="en-GB"/>
              </w:rPr>
              <w:t>Project 10 of the Higher Education Strategy for Northern Ireland - ‘Graduating to Success’ – will include a pilot to increase part time provision in bachelor degrees at selected colleges.</w:t>
            </w:r>
          </w:p>
          <w:p w:rsidR="0019384D" w:rsidRDefault="0019384D" w:rsidP="00445620">
            <w:pPr>
              <w:spacing w:after="0" w:line="240" w:lineRule="auto"/>
              <w:rPr>
                <w:rFonts w:eastAsia="Times New Roman"/>
                <w:lang w:eastAsia="en-GB"/>
              </w:rPr>
            </w:pPr>
          </w:p>
          <w:p w:rsidR="0019384D" w:rsidRDefault="0019384D" w:rsidP="00445620">
            <w:pPr>
              <w:spacing w:after="0" w:line="240" w:lineRule="auto"/>
              <w:rPr>
                <w:rFonts w:eastAsia="Times New Roman"/>
                <w:lang w:eastAsia="en-GB"/>
              </w:rPr>
            </w:pPr>
            <w:r w:rsidRPr="00445620">
              <w:rPr>
                <w:rFonts w:eastAsia="Times New Roman"/>
                <w:lang w:eastAsia="en-GB"/>
              </w:rPr>
              <w:t>The Department is currently developing a revised strategy for further education in Northern Ireland, and quality and performance will be one of the main themes in the strategy.</w:t>
            </w:r>
          </w:p>
          <w:p w:rsidR="00F83A90" w:rsidRDefault="00F83A90" w:rsidP="00445620">
            <w:pPr>
              <w:spacing w:after="0" w:line="240" w:lineRule="auto"/>
              <w:rPr>
                <w:rFonts w:eastAsia="Times New Roman"/>
                <w:lang w:eastAsia="en-GB"/>
              </w:rPr>
            </w:pPr>
          </w:p>
          <w:p w:rsidR="00F83A90" w:rsidRPr="00445620" w:rsidRDefault="00F83A90" w:rsidP="00445620">
            <w:pPr>
              <w:spacing w:after="0" w:line="240" w:lineRule="auto"/>
              <w:rPr>
                <w:rFonts w:eastAsia="Times New Roman"/>
                <w:lang w:eastAsia="en-GB"/>
              </w:rPr>
            </w:pPr>
            <w:r w:rsidRPr="00445620">
              <w:rPr>
                <w:rFonts w:eastAsia="Times New Roman"/>
                <w:lang w:eastAsia="en-GB"/>
              </w:rPr>
              <w:t>DEL has been managing a media campaign to promote Foundation Degrees. Aimed in particular at employers and those already employed to encourage up-skilling in the workforce by undertaking a Foundation degree on a part-time basis</w:t>
            </w:r>
            <w:r w:rsidR="00262819">
              <w:rPr>
                <w:rFonts w:eastAsia="Times New Roman"/>
                <w:lang w:eastAsia="en-GB"/>
              </w:rPr>
              <w:t>.</w:t>
            </w:r>
          </w:p>
        </w:tc>
        <w:tc>
          <w:tcPr>
            <w:tcW w:w="1134" w:type="dxa"/>
            <w:tcBorders>
              <w:top w:val="nil"/>
              <w:left w:val="nil"/>
              <w:bottom w:val="single" w:sz="4" w:space="0" w:color="auto"/>
              <w:right w:val="single" w:sz="4" w:space="0" w:color="auto"/>
            </w:tcBorders>
            <w:shd w:val="clear" w:color="000000" w:fill="D8D8D8"/>
            <w:hideMark/>
          </w:tcPr>
          <w:p w:rsidR="00445620" w:rsidRDefault="00445620" w:rsidP="00445620">
            <w:pPr>
              <w:spacing w:after="0" w:line="240" w:lineRule="auto"/>
              <w:rPr>
                <w:rFonts w:eastAsia="Times New Roman"/>
                <w:lang w:eastAsia="en-GB"/>
              </w:rPr>
            </w:pPr>
            <w:r w:rsidRPr="00445620">
              <w:rPr>
                <w:rFonts w:eastAsia="Times New Roman"/>
                <w:lang w:eastAsia="en-GB"/>
              </w:rPr>
              <w:t>Jan to Sept 2015</w:t>
            </w:r>
          </w:p>
          <w:p w:rsidR="0019384D" w:rsidRDefault="0019384D" w:rsidP="00445620">
            <w:pPr>
              <w:spacing w:after="0" w:line="240" w:lineRule="auto"/>
              <w:rPr>
                <w:rFonts w:eastAsia="Times New Roman"/>
                <w:lang w:eastAsia="en-GB"/>
              </w:rPr>
            </w:pPr>
          </w:p>
          <w:p w:rsidR="0019384D" w:rsidRDefault="0019384D" w:rsidP="00445620">
            <w:pPr>
              <w:spacing w:after="0" w:line="240" w:lineRule="auto"/>
              <w:rPr>
                <w:rFonts w:eastAsia="Times New Roman"/>
                <w:lang w:eastAsia="en-GB"/>
              </w:rPr>
            </w:pPr>
          </w:p>
          <w:p w:rsidR="0019384D" w:rsidRDefault="0019384D" w:rsidP="00445620">
            <w:pPr>
              <w:spacing w:after="0" w:line="240" w:lineRule="auto"/>
              <w:rPr>
                <w:rFonts w:eastAsia="Times New Roman"/>
                <w:lang w:eastAsia="en-GB"/>
              </w:rPr>
            </w:pPr>
          </w:p>
          <w:p w:rsidR="0019384D" w:rsidRDefault="0019384D" w:rsidP="00445620">
            <w:pPr>
              <w:spacing w:after="0" w:line="240" w:lineRule="auto"/>
              <w:rPr>
                <w:rFonts w:eastAsia="Times New Roman"/>
                <w:lang w:eastAsia="en-GB"/>
              </w:rPr>
            </w:pPr>
          </w:p>
          <w:p w:rsidR="005A5FC9" w:rsidRDefault="005A5FC9" w:rsidP="00445620">
            <w:pPr>
              <w:spacing w:after="0" w:line="240" w:lineRule="auto"/>
              <w:rPr>
                <w:rFonts w:eastAsia="Times New Roman"/>
                <w:lang w:eastAsia="en-GB"/>
              </w:rPr>
            </w:pPr>
          </w:p>
          <w:p w:rsidR="00F83A90" w:rsidRDefault="0019384D" w:rsidP="00445620">
            <w:pPr>
              <w:spacing w:after="0" w:line="240" w:lineRule="auto"/>
              <w:rPr>
                <w:rFonts w:eastAsia="Times New Roman"/>
                <w:color w:val="000000"/>
                <w:lang w:eastAsia="en-GB"/>
              </w:rPr>
            </w:pPr>
            <w:r>
              <w:rPr>
                <w:rFonts w:eastAsia="Times New Roman"/>
                <w:lang w:eastAsia="en-GB"/>
              </w:rPr>
              <w:t>2015</w:t>
            </w:r>
            <w:r w:rsidR="00F83A90" w:rsidRPr="00445620">
              <w:rPr>
                <w:rFonts w:eastAsia="Times New Roman"/>
                <w:color w:val="000000"/>
                <w:lang w:eastAsia="en-GB"/>
              </w:rPr>
              <w:t xml:space="preserve"> </w:t>
            </w:r>
          </w:p>
          <w:p w:rsidR="00F83A90" w:rsidRDefault="00F83A90" w:rsidP="00445620">
            <w:pPr>
              <w:spacing w:after="0" w:line="240" w:lineRule="auto"/>
              <w:rPr>
                <w:rFonts w:eastAsia="Times New Roman"/>
                <w:color w:val="000000"/>
                <w:lang w:eastAsia="en-GB"/>
              </w:rPr>
            </w:pPr>
          </w:p>
          <w:p w:rsidR="00F83A90" w:rsidRDefault="00F83A90" w:rsidP="00445620">
            <w:pPr>
              <w:spacing w:after="0" w:line="240" w:lineRule="auto"/>
              <w:rPr>
                <w:rFonts w:eastAsia="Times New Roman"/>
                <w:color w:val="000000"/>
                <w:lang w:eastAsia="en-GB"/>
              </w:rPr>
            </w:pPr>
          </w:p>
          <w:p w:rsidR="00F83A90" w:rsidRDefault="00F83A90" w:rsidP="00445620">
            <w:pPr>
              <w:spacing w:after="0" w:line="240" w:lineRule="auto"/>
              <w:rPr>
                <w:rFonts w:eastAsia="Times New Roman"/>
                <w:color w:val="000000"/>
                <w:lang w:eastAsia="en-GB"/>
              </w:rPr>
            </w:pPr>
          </w:p>
          <w:p w:rsidR="00F83A90" w:rsidRDefault="00F83A90" w:rsidP="00445620">
            <w:pPr>
              <w:spacing w:after="0" w:line="240" w:lineRule="auto"/>
              <w:rPr>
                <w:rFonts w:eastAsia="Times New Roman"/>
                <w:color w:val="000000"/>
                <w:lang w:eastAsia="en-GB"/>
              </w:rPr>
            </w:pPr>
          </w:p>
          <w:p w:rsidR="00F83A90" w:rsidRDefault="00F83A90" w:rsidP="00445620">
            <w:pPr>
              <w:spacing w:after="0" w:line="240" w:lineRule="auto"/>
              <w:rPr>
                <w:rFonts w:eastAsia="Times New Roman"/>
                <w:color w:val="000000"/>
                <w:lang w:eastAsia="en-GB"/>
              </w:rPr>
            </w:pPr>
          </w:p>
          <w:p w:rsidR="00F83A90" w:rsidRDefault="00F83A90" w:rsidP="00445620">
            <w:pPr>
              <w:spacing w:after="0" w:line="240" w:lineRule="auto"/>
              <w:rPr>
                <w:rFonts w:eastAsia="Times New Roman"/>
                <w:color w:val="000000"/>
                <w:lang w:eastAsia="en-GB"/>
              </w:rPr>
            </w:pPr>
          </w:p>
          <w:p w:rsidR="00F83A90" w:rsidRDefault="00F83A90" w:rsidP="00445620">
            <w:pPr>
              <w:spacing w:after="0" w:line="240" w:lineRule="auto"/>
              <w:rPr>
                <w:rFonts w:eastAsia="Times New Roman"/>
                <w:color w:val="000000"/>
                <w:lang w:eastAsia="en-GB"/>
              </w:rPr>
            </w:pPr>
          </w:p>
          <w:p w:rsidR="0019384D" w:rsidRPr="00445620" w:rsidRDefault="00F83A90" w:rsidP="00445620">
            <w:pPr>
              <w:spacing w:after="0" w:line="240" w:lineRule="auto"/>
              <w:rPr>
                <w:rFonts w:eastAsia="Times New Roman"/>
                <w:lang w:eastAsia="en-GB"/>
              </w:rPr>
            </w:pPr>
            <w:r w:rsidRPr="00445620">
              <w:rPr>
                <w:rFonts w:eastAsia="Times New Roman"/>
                <w:color w:val="000000"/>
                <w:lang w:eastAsia="en-GB"/>
              </w:rPr>
              <w:t>Ongoing</w:t>
            </w:r>
          </w:p>
        </w:tc>
        <w:tc>
          <w:tcPr>
            <w:tcW w:w="1418" w:type="dxa"/>
            <w:tcBorders>
              <w:top w:val="nil"/>
              <w:left w:val="nil"/>
              <w:bottom w:val="single" w:sz="4" w:space="0" w:color="auto"/>
              <w:right w:val="single" w:sz="4" w:space="0" w:color="auto"/>
            </w:tcBorders>
            <w:shd w:val="clear" w:color="000000" w:fill="D8D8D8"/>
            <w:hideMark/>
          </w:tcPr>
          <w:p w:rsidR="00445620" w:rsidRDefault="00C15229" w:rsidP="0019384D">
            <w:pPr>
              <w:spacing w:after="0" w:line="240" w:lineRule="auto"/>
              <w:rPr>
                <w:rFonts w:eastAsia="Times New Roman"/>
                <w:color w:val="000000"/>
                <w:lang w:eastAsia="en-GB"/>
              </w:rPr>
            </w:pPr>
            <w:r>
              <w:rPr>
                <w:rFonts w:eastAsia="Times New Roman"/>
                <w:color w:val="000000"/>
                <w:lang w:eastAsia="en-GB"/>
              </w:rPr>
              <w:t>HE &amp; FE</w:t>
            </w:r>
            <w:r w:rsidR="00445620" w:rsidRPr="00445620">
              <w:rPr>
                <w:rFonts w:eastAsia="Times New Roman"/>
                <w:color w:val="000000"/>
                <w:lang w:eastAsia="en-GB"/>
              </w:rPr>
              <w:t xml:space="preserve"> Division</w:t>
            </w:r>
            <w:r w:rsidR="0019384D">
              <w:rPr>
                <w:rFonts w:eastAsia="Times New Roman"/>
                <w:color w:val="000000"/>
                <w:lang w:eastAsia="en-GB"/>
              </w:rPr>
              <w:t>s</w:t>
            </w:r>
          </w:p>
          <w:p w:rsidR="0019384D" w:rsidRDefault="0019384D" w:rsidP="0019384D">
            <w:pPr>
              <w:spacing w:after="0" w:line="240" w:lineRule="auto"/>
              <w:rPr>
                <w:rFonts w:eastAsia="Times New Roman"/>
                <w:color w:val="000000"/>
                <w:lang w:eastAsia="en-GB"/>
              </w:rPr>
            </w:pPr>
          </w:p>
          <w:p w:rsidR="0019384D" w:rsidRDefault="0019384D" w:rsidP="0019384D">
            <w:pPr>
              <w:spacing w:after="0" w:line="240" w:lineRule="auto"/>
              <w:rPr>
                <w:rFonts w:eastAsia="Times New Roman"/>
                <w:color w:val="000000"/>
                <w:lang w:eastAsia="en-GB"/>
              </w:rPr>
            </w:pPr>
          </w:p>
          <w:p w:rsidR="005A5FC9" w:rsidRDefault="005A5FC9" w:rsidP="0019384D">
            <w:pPr>
              <w:spacing w:after="0" w:line="240" w:lineRule="auto"/>
              <w:rPr>
                <w:rFonts w:eastAsia="Times New Roman"/>
                <w:lang w:eastAsia="en-GB"/>
              </w:rPr>
            </w:pPr>
          </w:p>
          <w:p w:rsidR="005A5FC9" w:rsidRDefault="005A5FC9" w:rsidP="0019384D">
            <w:pPr>
              <w:spacing w:after="0" w:line="240" w:lineRule="auto"/>
              <w:rPr>
                <w:rFonts w:eastAsia="Times New Roman"/>
                <w:lang w:eastAsia="en-GB"/>
              </w:rPr>
            </w:pPr>
          </w:p>
          <w:p w:rsidR="005A5FC9" w:rsidRDefault="005A5FC9" w:rsidP="0019384D">
            <w:pPr>
              <w:spacing w:after="0" w:line="240" w:lineRule="auto"/>
              <w:rPr>
                <w:rFonts w:eastAsia="Times New Roman"/>
                <w:lang w:eastAsia="en-GB"/>
              </w:rPr>
            </w:pPr>
          </w:p>
          <w:p w:rsidR="00F83A90" w:rsidRDefault="00C15229" w:rsidP="0019384D">
            <w:pPr>
              <w:spacing w:after="0" w:line="240" w:lineRule="auto"/>
              <w:rPr>
                <w:rFonts w:eastAsia="Times New Roman"/>
                <w:lang w:eastAsia="en-GB"/>
              </w:rPr>
            </w:pPr>
            <w:r>
              <w:rPr>
                <w:rFonts w:eastAsia="Times New Roman"/>
                <w:lang w:eastAsia="en-GB"/>
              </w:rPr>
              <w:t>FE</w:t>
            </w:r>
            <w:r w:rsidR="0019384D" w:rsidRPr="00445620">
              <w:rPr>
                <w:rFonts w:eastAsia="Times New Roman"/>
                <w:lang w:eastAsia="en-GB"/>
              </w:rPr>
              <w:t xml:space="preserve"> Division</w:t>
            </w:r>
            <w:r w:rsidR="00F83A90">
              <w:rPr>
                <w:rFonts w:eastAsia="Times New Roman"/>
                <w:lang w:eastAsia="en-GB"/>
              </w:rPr>
              <w:t xml:space="preserve"> </w:t>
            </w:r>
          </w:p>
          <w:p w:rsidR="00F83A90" w:rsidRDefault="00F83A90" w:rsidP="0019384D">
            <w:pPr>
              <w:spacing w:after="0" w:line="240" w:lineRule="auto"/>
              <w:rPr>
                <w:rFonts w:eastAsia="Times New Roman"/>
                <w:lang w:eastAsia="en-GB"/>
              </w:rPr>
            </w:pPr>
          </w:p>
          <w:p w:rsidR="00F83A90" w:rsidRDefault="00F83A90" w:rsidP="0019384D">
            <w:pPr>
              <w:spacing w:after="0" w:line="240" w:lineRule="auto"/>
              <w:rPr>
                <w:rFonts w:eastAsia="Times New Roman"/>
                <w:lang w:eastAsia="en-GB"/>
              </w:rPr>
            </w:pPr>
          </w:p>
          <w:p w:rsidR="00262819" w:rsidRDefault="00262819" w:rsidP="0019384D">
            <w:pPr>
              <w:spacing w:after="0" w:line="240" w:lineRule="auto"/>
              <w:rPr>
                <w:rFonts w:eastAsia="Times New Roman"/>
                <w:lang w:eastAsia="en-GB"/>
              </w:rPr>
            </w:pPr>
          </w:p>
          <w:p w:rsidR="00F83A90" w:rsidRDefault="00F83A90" w:rsidP="0019384D">
            <w:pPr>
              <w:spacing w:after="0" w:line="240" w:lineRule="auto"/>
              <w:rPr>
                <w:rFonts w:eastAsia="Times New Roman"/>
                <w:lang w:eastAsia="en-GB"/>
              </w:rPr>
            </w:pPr>
          </w:p>
          <w:p w:rsidR="00F83A90" w:rsidRDefault="00F83A90" w:rsidP="0019384D">
            <w:pPr>
              <w:spacing w:after="0" w:line="240" w:lineRule="auto"/>
              <w:rPr>
                <w:rFonts w:eastAsia="Times New Roman"/>
                <w:lang w:eastAsia="en-GB"/>
              </w:rPr>
            </w:pPr>
          </w:p>
          <w:p w:rsidR="005A5FC9" w:rsidRDefault="005A5FC9" w:rsidP="0019384D">
            <w:pPr>
              <w:spacing w:after="0" w:line="240" w:lineRule="auto"/>
              <w:rPr>
                <w:rFonts w:eastAsia="Times New Roman"/>
                <w:lang w:eastAsia="en-GB"/>
              </w:rPr>
            </w:pPr>
          </w:p>
          <w:p w:rsidR="005A5FC9" w:rsidRDefault="005A5FC9" w:rsidP="0019384D">
            <w:pPr>
              <w:spacing w:after="0" w:line="240" w:lineRule="auto"/>
              <w:rPr>
                <w:rFonts w:eastAsia="Times New Roman"/>
                <w:lang w:eastAsia="en-GB"/>
              </w:rPr>
            </w:pPr>
          </w:p>
          <w:p w:rsidR="0019384D" w:rsidRPr="00445620" w:rsidRDefault="00C15229" w:rsidP="0019384D">
            <w:pPr>
              <w:spacing w:after="0" w:line="240" w:lineRule="auto"/>
              <w:rPr>
                <w:rFonts w:eastAsia="Times New Roman"/>
                <w:color w:val="000000"/>
                <w:lang w:eastAsia="en-GB"/>
              </w:rPr>
            </w:pPr>
            <w:r>
              <w:rPr>
                <w:rFonts w:eastAsia="Times New Roman"/>
                <w:lang w:eastAsia="en-GB"/>
              </w:rPr>
              <w:t>HE</w:t>
            </w:r>
            <w:r w:rsidR="00F83A90" w:rsidRPr="00445620">
              <w:rPr>
                <w:rFonts w:eastAsia="Times New Roman"/>
                <w:lang w:eastAsia="en-GB"/>
              </w:rPr>
              <w:t xml:space="preserve"> Division</w:t>
            </w:r>
          </w:p>
        </w:tc>
      </w:tr>
    </w:tbl>
    <w:p w:rsidR="00BA3AB2" w:rsidRDefault="0019384D" w:rsidP="002D309A">
      <w:pPr>
        <w:pStyle w:val="ListParagraph"/>
        <w:spacing w:after="0" w:line="360" w:lineRule="auto"/>
        <w:ind w:left="357"/>
        <w:rPr>
          <w:rFonts w:cs="FranklinGothicITCbyBT-Book"/>
          <w:b/>
          <w:sz w:val="24"/>
          <w:szCs w:val="24"/>
        </w:rPr>
      </w:pPr>
      <w:bookmarkStart w:id="0" w:name="OLE_LINK9"/>
      <w:bookmarkStart w:id="1" w:name="OLE_LINK10"/>
      <w:r>
        <w:rPr>
          <w:b/>
          <w:bCs/>
          <w:color w:val="000000"/>
          <w:lang w:eastAsia="en-GB"/>
        </w:rPr>
        <w:br w:type="page"/>
      </w:r>
      <w:r w:rsidR="00BA3AB2">
        <w:rPr>
          <w:b/>
          <w:bCs/>
          <w:color w:val="000000"/>
          <w:lang w:eastAsia="en-GB"/>
        </w:rPr>
        <w:lastRenderedPageBreak/>
        <w:t xml:space="preserve">A.2. </w:t>
      </w:r>
      <w:r w:rsidR="00BA3AB2">
        <w:rPr>
          <w:b/>
          <w:bCs/>
          <w:color w:val="000000"/>
          <w:sz w:val="24"/>
          <w:szCs w:val="24"/>
          <w:lang w:eastAsia="en-GB"/>
        </w:rPr>
        <w:t xml:space="preserve">STEM – Building the Supply of </w:t>
      </w:r>
      <w:r w:rsidR="00BA3AB2" w:rsidRPr="00980A42">
        <w:rPr>
          <w:rFonts w:cs="FranklinGothicITCbyBT-Book"/>
          <w:b/>
          <w:sz w:val="24"/>
          <w:szCs w:val="24"/>
        </w:rPr>
        <w:t xml:space="preserve">STEM </w:t>
      </w:r>
      <w:r w:rsidR="00BA3AB2">
        <w:rPr>
          <w:rFonts w:cs="FranklinGothicITCbyBT-Book"/>
          <w:b/>
          <w:sz w:val="24"/>
          <w:szCs w:val="24"/>
        </w:rPr>
        <w:t>skills</w:t>
      </w:r>
    </w:p>
    <w:tbl>
      <w:tblPr>
        <w:tblW w:w="14020" w:type="dxa"/>
        <w:tblInd w:w="93" w:type="dxa"/>
        <w:tblLook w:val="04A0"/>
      </w:tblPr>
      <w:tblGrid>
        <w:gridCol w:w="2709"/>
        <w:gridCol w:w="3093"/>
        <w:gridCol w:w="2427"/>
        <w:gridCol w:w="2446"/>
        <w:gridCol w:w="1635"/>
        <w:gridCol w:w="1710"/>
      </w:tblGrid>
      <w:tr w:rsidR="007E7DE3" w:rsidRPr="00445620" w:rsidTr="00AE5996">
        <w:trPr>
          <w:trHeight w:val="600"/>
          <w:tblHeader/>
        </w:trPr>
        <w:tc>
          <w:tcPr>
            <w:tcW w:w="270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bookmarkEnd w:id="0"/>
          <w:bookmarkEnd w:id="1"/>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Key Issue</w:t>
            </w:r>
          </w:p>
        </w:tc>
        <w:tc>
          <w:tcPr>
            <w:tcW w:w="3304" w:type="dxa"/>
            <w:tcBorders>
              <w:top w:val="single" w:sz="4" w:space="0" w:color="auto"/>
              <w:left w:val="nil"/>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 xml:space="preserve">Planned Action from 2013 </w:t>
            </w:r>
            <w:r>
              <w:rPr>
                <w:rFonts w:eastAsia="Times New Roman"/>
                <w:b/>
                <w:bCs/>
                <w:color w:val="000000"/>
                <w:lang w:eastAsia="en-GB"/>
              </w:rPr>
              <w:t xml:space="preserve">Action Plan </w:t>
            </w:r>
            <w:r w:rsidRPr="00445620">
              <w:rPr>
                <w:rFonts w:eastAsia="Times New Roman"/>
                <w:b/>
                <w:bCs/>
                <w:color w:val="000000"/>
                <w:lang w:eastAsia="en-GB"/>
              </w:rPr>
              <w:t>Report</w:t>
            </w:r>
          </w:p>
        </w:tc>
        <w:tc>
          <w:tcPr>
            <w:tcW w:w="2547" w:type="dxa"/>
            <w:tcBorders>
              <w:top w:val="single" w:sz="4" w:space="0" w:color="auto"/>
              <w:left w:val="nil"/>
              <w:bottom w:val="single" w:sz="4" w:space="0" w:color="auto"/>
              <w:right w:val="trip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Progress</w:t>
            </w:r>
            <w:r>
              <w:rPr>
                <w:rFonts w:eastAsia="Times New Roman"/>
                <w:b/>
                <w:bCs/>
                <w:color w:val="000000"/>
                <w:lang w:eastAsia="en-GB"/>
              </w:rPr>
              <w:t xml:space="preserve"> Against</w:t>
            </w:r>
            <w:r w:rsidRPr="00445620">
              <w:rPr>
                <w:rFonts w:eastAsia="Times New Roman"/>
                <w:b/>
                <w:bCs/>
                <w:color w:val="000000"/>
                <w:lang w:eastAsia="en-GB"/>
              </w:rPr>
              <w:t xml:space="preserve"> 2013 planned action</w:t>
            </w:r>
          </w:p>
        </w:tc>
        <w:tc>
          <w:tcPr>
            <w:tcW w:w="2446" w:type="dxa"/>
            <w:tcBorders>
              <w:top w:val="single" w:sz="4" w:space="0" w:color="auto"/>
              <w:left w:val="triple" w:sz="4" w:space="0" w:color="auto"/>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Further Actions Planned from 2014</w:t>
            </w:r>
          </w:p>
        </w:tc>
        <w:tc>
          <w:tcPr>
            <w:tcW w:w="1243" w:type="dxa"/>
            <w:tcBorders>
              <w:top w:val="single" w:sz="4" w:space="0" w:color="auto"/>
              <w:left w:val="nil"/>
              <w:bottom w:val="single" w:sz="4" w:space="0" w:color="auto"/>
              <w:right w:val="single" w:sz="4" w:space="0" w:color="auto"/>
            </w:tcBorders>
            <w:shd w:val="clear" w:color="000000" w:fill="A5A5A5"/>
            <w:noWrap/>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Timescale</w:t>
            </w:r>
          </w:p>
        </w:tc>
        <w:tc>
          <w:tcPr>
            <w:tcW w:w="1771" w:type="dxa"/>
            <w:tcBorders>
              <w:top w:val="single" w:sz="4" w:space="0" w:color="auto"/>
              <w:left w:val="nil"/>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Responsible Divisions</w:t>
            </w:r>
          </w:p>
        </w:tc>
      </w:tr>
      <w:tr w:rsidR="007E7DE3" w:rsidRPr="00445620" w:rsidTr="00AE5996">
        <w:trPr>
          <w:trHeight w:val="3628"/>
        </w:trPr>
        <w:tc>
          <w:tcPr>
            <w:tcW w:w="2709" w:type="dxa"/>
            <w:vMerge w:val="restart"/>
            <w:tcBorders>
              <w:top w:val="nil"/>
              <w:left w:val="single" w:sz="4" w:space="0" w:color="auto"/>
              <w:bottom w:val="single" w:sz="4" w:space="0" w:color="000000"/>
              <w:right w:val="single" w:sz="4" w:space="0" w:color="auto"/>
            </w:tcBorders>
            <w:shd w:val="clear" w:color="000000" w:fill="D8D8D8"/>
            <w:hideMark/>
          </w:tcPr>
          <w:p w:rsidR="006D025B" w:rsidRPr="00025938" w:rsidRDefault="006D025B" w:rsidP="005375E8">
            <w:pPr>
              <w:spacing w:after="0" w:line="240" w:lineRule="auto"/>
              <w:rPr>
                <w:rFonts w:eastAsia="Times New Roman"/>
                <w:b/>
                <w:color w:val="000000"/>
                <w:lang w:eastAsia="en-GB"/>
              </w:rPr>
            </w:pPr>
            <w:r w:rsidRPr="00025938">
              <w:rPr>
                <w:rFonts w:eastAsia="Times New Roman"/>
                <w:b/>
                <w:color w:val="000000"/>
                <w:lang w:eastAsia="en-GB"/>
              </w:rPr>
              <w:t xml:space="preserve">The Northern Ireland Executive is committed, through its STEM Strategy - </w:t>
            </w:r>
            <w:r w:rsidRPr="00025938">
              <w:rPr>
                <w:rFonts w:eastAsia="Times New Roman"/>
                <w:b/>
                <w:i/>
                <w:iCs/>
                <w:color w:val="000000"/>
                <w:lang w:eastAsia="en-GB"/>
              </w:rPr>
              <w:t>Success through STEM</w:t>
            </w:r>
            <w:r w:rsidRPr="00025938">
              <w:rPr>
                <w:rFonts w:eastAsia="Times New Roman"/>
                <w:b/>
                <w:color w:val="000000"/>
                <w:lang w:eastAsia="en-GB"/>
              </w:rPr>
              <w:t xml:space="preserve">, to building the supply of STEM skills. This commitment is reflected also in the Executive’s Programme for Government and forms a central aspect of its Economic and Skills Strategies. Nevertheless, the latest DEL Annual Performance report </w:t>
            </w:r>
            <w:r w:rsidR="0058382A" w:rsidRPr="00025938">
              <w:rPr>
                <w:rFonts w:eastAsia="Times New Roman"/>
                <w:b/>
                <w:color w:val="000000"/>
                <w:lang w:eastAsia="en-GB"/>
              </w:rPr>
              <w:t>indicated</w:t>
            </w:r>
            <w:r w:rsidRPr="00025938">
              <w:rPr>
                <w:rFonts w:eastAsia="Times New Roman"/>
                <w:b/>
                <w:color w:val="000000"/>
                <w:lang w:eastAsia="en-GB"/>
              </w:rPr>
              <w:t xml:space="preserve"> that more remains to be done to achieve the Executive’s ambitions in this important area. </w:t>
            </w:r>
          </w:p>
        </w:tc>
        <w:tc>
          <w:tcPr>
            <w:tcW w:w="3304" w:type="dxa"/>
            <w:tcBorders>
              <w:top w:val="nil"/>
              <w:left w:val="nil"/>
              <w:bottom w:val="single" w:sz="4" w:space="0" w:color="auto"/>
              <w:right w:val="single" w:sz="4" w:space="0" w:color="auto"/>
            </w:tcBorders>
            <w:shd w:val="clear" w:color="000000" w:fill="D8D8D8"/>
            <w:hideMark/>
          </w:tcPr>
          <w:p w:rsidR="006D025B" w:rsidRPr="00A77027" w:rsidRDefault="006D025B" w:rsidP="00445620">
            <w:pPr>
              <w:spacing w:after="0" w:line="240" w:lineRule="auto"/>
              <w:rPr>
                <w:rFonts w:eastAsia="Times New Roman"/>
                <w:lang w:eastAsia="en-GB"/>
              </w:rPr>
            </w:pPr>
            <w:r w:rsidRPr="00A77027">
              <w:rPr>
                <w:rFonts w:eastAsia="Times New Roman"/>
                <w:lang w:eastAsia="en-GB"/>
              </w:rPr>
              <w:t xml:space="preserve">The Department is implementing a number of actions outlined within the STEM strategy. These actions are complemented by the actions contained within the Department’s </w:t>
            </w:r>
            <w:proofErr w:type="spellStart"/>
            <w:r w:rsidRPr="00A77027">
              <w:rPr>
                <w:rFonts w:eastAsia="Times New Roman"/>
                <w:lang w:eastAsia="en-GB"/>
              </w:rPr>
              <w:t>sectoral</w:t>
            </w:r>
            <w:proofErr w:type="spellEnd"/>
            <w:r w:rsidRPr="00A77027">
              <w:rPr>
                <w:rFonts w:eastAsia="Times New Roman"/>
                <w:lang w:eastAsia="en-GB"/>
              </w:rPr>
              <w:t xml:space="preserve"> action plans in ICT, Advanced Manufacturing and Food and Drink Processing.</w:t>
            </w:r>
          </w:p>
          <w:p w:rsidR="006D025B" w:rsidRPr="00A77027" w:rsidRDefault="006D025B" w:rsidP="00445620">
            <w:pPr>
              <w:spacing w:after="0" w:line="240" w:lineRule="auto"/>
              <w:rPr>
                <w:rFonts w:eastAsia="Times New Roman"/>
                <w:lang w:eastAsia="en-GB"/>
              </w:rPr>
            </w:pPr>
          </w:p>
          <w:p w:rsidR="004A4FC6" w:rsidRPr="00A77027" w:rsidRDefault="004A4FC6"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r w:rsidRPr="00A77027">
              <w:rPr>
                <w:rFonts w:eastAsia="Times New Roman"/>
                <w:lang w:eastAsia="en-GB"/>
              </w:rPr>
              <w:t>Actions currently being taken forward as a result of this work include the continuation of the ‘</w:t>
            </w:r>
            <w:proofErr w:type="spellStart"/>
            <w:r w:rsidRPr="00A77027">
              <w:rPr>
                <w:rFonts w:eastAsia="Times New Roman"/>
                <w:lang w:eastAsia="en-GB"/>
              </w:rPr>
              <w:t>BringITOn</w:t>
            </w:r>
            <w:proofErr w:type="spellEnd"/>
            <w:r w:rsidRPr="00A77027">
              <w:rPr>
                <w:rFonts w:eastAsia="Times New Roman"/>
                <w:lang w:eastAsia="en-GB"/>
              </w:rPr>
              <w:t xml:space="preserve">’ campaign and ‘Tasty Careers’, the provision of 1,350 additional undergraduate and 350 </w:t>
            </w:r>
            <w:proofErr w:type="spellStart"/>
            <w:r w:rsidRPr="00A77027">
              <w:rPr>
                <w:rFonts w:eastAsia="Times New Roman"/>
                <w:lang w:eastAsia="en-GB"/>
              </w:rPr>
              <w:t>Phd</w:t>
            </w:r>
            <w:proofErr w:type="spellEnd"/>
            <w:r w:rsidRPr="00A77027">
              <w:rPr>
                <w:rFonts w:eastAsia="Times New Roman"/>
                <w:lang w:eastAsia="en-GB"/>
              </w:rPr>
              <w:t xml:space="preserve"> places in areas of economic relevance, including STEM, by 2015/16, creation of industry backed STEM scholarships and further tranches of the software Testers Academy, Higher Level Apprentices in ICT and Engineering and the public / private sector ICT Apprenticeship.</w:t>
            </w:r>
          </w:p>
          <w:p w:rsidR="00262819" w:rsidRPr="00A77027" w:rsidRDefault="00262819"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r w:rsidRPr="00A77027">
              <w:rPr>
                <w:rFonts w:eastAsia="Times New Roman"/>
                <w:lang w:eastAsia="en-GB"/>
              </w:rPr>
              <w:t>The Department will consider if, and how, further education colleges could be incentivised to increase the number of enrolments in STEM areas.</w:t>
            </w:r>
          </w:p>
          <w:p w:rsidR="006D025B" w:rsidRPr="00A77027" w:rsidRDefault="006D025B" w:rsidP="00445620">
            <w:pPr>
              <w:spacing w:after="0" w:line="240" w:lineRule="auto"/>
              <w:rPr>
                <w:rFonts w:eastAsia="Times New Roman"/>
                <w:lang w:eastAsia="en-GB"/>
              </w:rPr>
            </w:pPr>
          </w:p>
          <w:p w:rsidR="005A5FC9" w:rsidRPr="00A77027" w:rsidRDefault="005A5FC9" w:rsidP="00445620">
            <w:pPr>
              <w:spacing w:after="0" w:line="240" w:lineRule="auto"/>
              <w:rPr>
                <w:rFonts w:eastAsia="Times New Roman"/>
                <w:lang w:eastAsia="en-GB"/>
              </w:rPr>
            </w:pPr>
          </w:p>
          <w:p w:rsidR="005A5FC9" w:rsidRPr="00A77027" w:rsidRDefault="005A5FC9" w:rsidP="00445620">
            <w:pPr>
              <w:spacing w:after="0" w:line="240" w:lineRule="auto"/>
              <w:rPr>
                <w:rFonts w:eastAsia="Times New Roman"/>
                <w:lang w:eastAsia="en-GB"/>
              </w:rPr>
            </w:pPr>
          </w:p>
          <w:p w:rsidR="005A5FC9" w:rsidRPr="00A77027" w:rsidRDefault="005A5FC9"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u w:val="single"/>
                <w:lang w:eastAsia="en-GB"/>
              </w:rPr>
            </w:pPr>
            <w:r w:rsidRPr="00A77027">
              <w:rPr>
                <w:rFonts w:eastAsia="Times New Roman"/>
                <w:lang w:eastAsia="en-GB"/>
              </w:rPr>
              <w:t>Between December 2011 and November 2012, the Department announced a total of 1,060 additional STEM places for the two universities.</w:t>
            </w:r>
            <w:r w:rsidRPr="00A77027">
              <w:rPr>
                <w:rFonts w:eastAsia="Times New Roman"/>
                <w:u w:val="single"/>
                <w:lang w:eastAsia="en-GB"/>
              </w:rPr>
              <w:t xml:space="preserve">  </w:t>
            </w: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235ED5" w:rsidRPr="00A77027" w:rsidRDefault="00235ED5" w:rsidP="00445620">
            <w:pPr>
              <w:spacing w:after="0" w:line="240" w:lineRule="auto"/>
              <w:rPr>
                <w:rFonts w:eastAsia="Times New Roman"/>
                <w:u w:val="single"/>
                <w:lang w:eastAsia="en-GB"/>
              </w:rPr>
            </w:pPr>
          </w:p>
          <w:p w:rsidR="00C87E8C" w:rsidRPr="00A77027" w:rsidRDefault="00C87E8C" w:rsidP="00445620">
            <w:pPr>
              <w:spacing w:after="0" w:line="240" w:lineRule="auto"/>
              <w:rPr>
                <w:rFonts w:eastAsia="Times New Roman"/>
                <w:u w:val="single"/>
                <w:lang w:eastAsia="en-GB"/>
              </w:rPr>
            </w:pPr>
          </w:p>
          <w:p w:rsidR="00235ED5" w:rsidRPr="00A77027" w:rsidRDefault="00235ED5"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asciiTheme="minorHAnsi" w:hAnsiTheme="minorHAnsi" w:cstheme="minorHAnsi"/>
              </w:rPr>
            </w:pPr>
          </w:p>
          <w:p w:rsidR="00A77027" w:rsidRPr="00A77027" w:rsidRDefault="00A77027" w:rsidP="00445620">
            <w:pPr>
              <w:spacing w:after="0" w:line="240" w:lineRule="auto"/>
              <w:rPr>
                <w:rFonts w:eastAsia="Times New Roman"/>
                <w:lang w:eastAsia="en-GB"/>
              </w:rPr>
            </w:pPr>
            <w:r w:rsidRPr="00A77027">
              <w:rPr>
                <w:rFonts w:eastAsia="Times New Roman"/>
                <w:lang w:eastAsia="en-GB"/>
              </w:rPr>
              <w:t>During the financial year 2013/14 Assured Skills</w:t>
            </w:r>
            <w:r w:rsidRPr="00A77027">
              <w:rPr>
                <w:rFonts w:eastAsia="Times New Roman"/>
                <w:u w:val="single"/>
                <w:lang w:eastAsia="en-GB"/>
              </w:rPr>
              <w:t xml:space="preserve"> </w:t>
            </w:r>
            <w:r w:rsidRPr="00A77027">
              <w:rPr>
                <w:rFonts w:asciiTheme="minorHAnsi" w:hAnsiTheme="minorHAnsi" w:cstheme="minorHAnsi"/>
              </w:rPr>
              <w:t>will work in support of Invest NI’s Investment Strategy by contributing to 1,100 jobs, through the provision of bespoke training support, by March 2014.</w:t>
            </w:r>
          </w:p>
        </w:tc>
        <w:tc>
          <w:tcPr>
            <w:tcW w:w="2547" w:type="dxa"/>
            <w:tcBorders>
              <w:top w:val="single" w:sz="4" w:space="0" w:color="auto"/>
              <w:left w:val="single" w:sz="4" w:space="0" w:color="auto"/>
              <w:bottom w:val="single" w:sz="4" w:space="0" w:color="000000"/>
              <w:right w:val="triple" w:sz="4" w:space="0" w:color="auto"/>
            </w:tcBorders>
            <w:shd w:val="clear" w:color="000000" w:fill="D8D8D8"/>
            <w:hideMark/>
          </w:tcPr>
          <w:p w:rsidR="006D025B" w:rsidRPr="00A77027" w:rsidRDefault="006D025B" w:rsidP="00445620">
            <w:pPr>
              <w:spacing w:after="0" w:line="240" w:lineRule="auto"/>
              <w:rPr>
                <w:rFonts w:eastAsia="Times New Roman"/>
                <w:lang w:eastAsia="en-GB"/>
              </w:rPr>
            </w:pPr>
            <w:r w:rsidRPr="00A77027">
              <w:rPr>
                <w:rFonts w:eastAsia="Times New Roman"/>
                <w:lang w:eastAsia="en-GB"/>
              </w:rPr>
              <w:lastRenderedPageBreak/>
              <w:t>Universities notified of their allocation of, and funding provided for, a total of 117 additional PhD places.</w:t>
            </w:r>
          </w:p>
          <w:p w:rsidR="006D025B" w:rsidRPr="00A77027" w:rsidRDefault="006D025B" w:rsidP="00445620">
            <w:pPr>
              <w:spacing w:after="0" w:line="240" w:lineRule="auto"/>
              <w:rPr>
                <w:rFonts w:eastAsia="Times New Roman"/>
                <w:lang w:eastAsia="en-GB"/>
              </w:rPr>
            </w:pPr>
          </w:p>
          <w:p w:rsidR="006D025B" w:rsidRPr="00A77027" w:rsidRDefault="00CA4420" w:rsidP="00445620">
            <w:pPr>
              <w:spacing w:after="0" w:line="240" w:lineRule="auto"/>
              <w:rPr>
                <w:rFonts w:eastAsia="Times New Roman"/>
                <w:lang w:eastAsia="en-GB"/>
              </w:rPr>
            </w:pPr>
            <w:r w:rsidRPr="00A77027">
              <w:rPr>
                <w:rFonts w:eastAsia="Times New Roman"/>
                <w:lang w:eastAsia="en-GB"/>
              </w:rPr>
              <w:t>STEM supplement published in September 2013 in the regional newspapers to encourage more people to consider STEM subjects, courses and careers.</w:t>
            </w:r>
          </w:p>
          <w:p w:rsidR="006D025B" w:rsidRPr="00A77027" w:rsidRDefault="006D025B" w:rsidP="00445620">
            <w:pPr>
              <w:spacing w:after="0" w:line="240" w:lineRule="auto"/>
              <w:rPr>
                <w:rFonts w:eastAsia="Times New Roman"/>
                <w:lang w:eastAsia="en-GB"/>
              </w:rPr>
            </w:pPr>
          </w:p>
          <w:p w:rsidR="006D025B" w:rsidRPr="00A77027" w:rsidRDefault="006F1716" w:rsidP="00445620">
            <w:pPr>
              <w:spacing w:after="0" w:line="240" w:lineRule="auto"/>
              <w:rPr>
                <w:rFonts w:eastAsia="Times New Roman"/>
                <w:lang w:eastAsia="en-GB"/>
              </w:rPr>
            </w:pPr>
            <w:r w:rsidRPr="00A77027">
              <w:rPr>
                <w:rFonts w:eastAsia="Times New Roman"/>
                <w:lang w:eastAsia="en-GB"/>
              </w:rPr>
              <w:t xml:space="preserve">146 additional </w:t>
            </w:r>
            <w:r w:rsidR="005A5FC9" w:rsidRPr="00A77027">
              <w:rPr>
                <w:rFonts w:eastAsia="Times New Roman"/>
                <w:lang w:eastAsia="en-GB"/>
              </w:rPr>
              <w:t xml:space="preserve">STEM </w:t>
            </w:r>
            <w:r w:rsidRPr="00A77027">
              <w:rPr>
                <w:rFonts w:eastAsia="Times New Roman"/>
                <w:lang w:eastAsia="en-GB"/>
              </w:rPr>
              <w:t>places were allocated to HE in FE from September 2014</w:t>
            </w:r>
          </w:p>
          <w:p w:rsidR="006D025B" w:rsidRPr="00A77027" w:rsidRDefault="006D025B" w:rsidP="00445620">
            <w:pPr>
              <w:spacing w:after="0" w:line="240" w:lineRule="auto"/>
              <w:rPr>
                <w:rFonts w:eastAsia="Times New Roman"/>
                <w:lang w:eastAsia="en-GB"/>
              </w:rPr>
            </w:pPr>
          </w:p>
          <w:p w:rsidR="005A5FC9" w:rsidRPr="00A77027" w:rsidRDefault="005A5FC9" w:rsidP="005A5FC9">
            <w:pPr>
              <w:spacing w:after="0" w:line="240" w:lineRule="auto"/>
              <w:rPr>
                <w:rFonts w:eastAsia="Times New Roman"/>
                <w:lang w:eastAsia="en-GB"/>
              </w:rPr>
            </w:pPr>
            <w:r w:rsidRPr="00A77027">
              <w:rPr>
                <w:rFonts w:eastAsia="Times New Roman"/>
                <w:lang w:eastAsia="en-GB"/>
              </w:rPr>
              <w:t>76 apprentices undertaking a Level 3 ICT Apprenticeship Programme</w:t>
            </w:r>
          </w:p>
          <w:p w:rsidR="006D025B" w:rsidRPr="00A77027" w:rsidRDefault="006D025B" w:rsidP="00445620">
            <w:pPr>
              <w:spacing w:after="0" w:line="240" w:lineRule="auto"/>
              <w:rPr>
                <w:rFonts w:eastAsia="Times New Roman"/>
                <w:lang w:eastAsia="en-GB"/>
              </w:rPr>
            </w:pPr>
          </w:p>
          <w:p w:rsidR="005A5FC9" w:rsidRPr="00A77027" w:rsidRDefault="005A5FC9" w:rsidP="00C15229">
            <w:pPr>
              <w:spacing w:after="0" w:line="240" w:lineRule="auto"/>
              <w:rPr>
                <w:rFonts w:eastAsia="Times New Roman"/>
                <w:lang w:eastAsia="en-GB"/>
              </w:rPr>
            </w:pPr>
          </w:p>
          <w:p w:rsidR="005A5FC9" w:rsidRPr="00A77027" w:rsidRDefault="005A5FC9" w:rsidP="00C15229">
            <w:pPr>
              <w:spacing w:after="0" w:line="240" w:lineRule="auto"/>
              <w:rPr>
                <w:rFonts w:eastAsia="Times New Roman"/>
                <w:lang w:eastAsia="en-GB"/>
              </w:rPr>
            </w:pPr>
          </w:p>
          <w:p w:rsidR="005A5FC9" w:rsidRPr="00A77027" w:rsidRDefault="005A5FC9" w:rsidP="00C15229">
            <w:pPr>
              <w:spacing w:after="0" w:line="240" w:lineRule="auto"/>
              <w:rPr>
                <w:rFonts w:eastAsia="Times New Roman"/>
                <w:lang w:eastAsia="en-GB"/>
              </w:rPr>
            </w:pPr>
          </w:p>
          <w:p w:rsidR="005A5FC9" w:rsidRPr="00A77027" w:rsidRDefault="005A5FC9" w:rsidP="00C15229">
            <w:pPr>
              <w:spacing w:after="0" w:line="240" w:lineRule="auto"/>
              <w:rPr>
                <w:rFonts w:eastAsia="Times New Roman"/>
                <w:lang w:eastAsia="en-GB"/>
              </w:rPr>
            </w:pPr>
          </w:p>
          <w:p w:rsidR="005A5FC9" w:rsidRPr="00A77027" w:rsidRDefault="005A5FC9" w:rsidP="00C15229">
            <w:pPr>
              <w:spacing w:after="0" w:line="240" w:lineRule="auto"/>
              <w:rPr>
                <w:rFonts w:eastAsia="Times New Roman"/>
                <w:lang w:eastAsia="en-GB"/>
              </w:rPr>
            </w:pPr>
          </w:p>
          <w:p w:rsidR="006D025B" w:rsidRPr="00A77027" w:rsidRDefault="00E05EFA" w:rsidP="00C15229">
            <w:pPr>
              <w:spacing w:after="0" w:line="240" w:lineRule="auto"/>
              <w:rPr>
                <w:rFonts w:eastAsia="Times New Roman"/>
                <w:lang w:eastAsia="en-GB"/>
              </w:rPr>
            </w:pPr>
            <w:r w:rsidRPr="00A77027">
              <w:rPr>
                <w:rFonts w:eastAsia="Times New Roman"/>
                <w:lang w:eastAsia="en-GB"/>
              </w:rPr>
              <w:t>Through annual planning meetings with the Department, further education colleges are strongly encouraged to increase STEM enrolments.</w:t>
            </w:r>
            <w:r w:rsidR="00C26C24" w:rsidRPr="00A77027">
              <w:rPr>
                <w:rFonts w:eastAsia="Times New Roman"/>
                <w:lang w:eastAsia="en-GB"/>
              </w:rPr>
              <w:t xml:space="preserve">  </w:t>
            </w:r>
          </w:p>
          <w:p w:rsidR="006D025B" w:rsidRPr="00A77027" w:rsidRDefault="006D025B"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p>
          <w:p w:rsidR="006D025B" w:rsidRPr="00A77027" w:rsidRDefault="006D025B" w:rsidP="0079377F">
            <w:pPr>
              <w:spacing w:after="0" w:line="240" w:lineRule="auto"/>
              <w:rPr>
                <w:rFonts w:eastAsia="Times New Roman"/>
                <w:lang w:eastAsia="en-GB"/>
              </w:rPr>
            </w:pPr>
            <w:r w:rsidRPr="00A77027">
              <w:rPr>
                <w:rFonts w:eastAsia="Times New Roman"/>
                <w:lang w:eastAsia="en-GB"/>
              </w:rPr>
              <w:t>A further 150 additional places allocated in June 2013 – a total of 1210 places for the two universities.</w:t>
            </w: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p>
          <w:p w:rsidR="00C87E8C" w:rsidRPr="00A77027" w:rsidRDefault="00C87E8C" w:rsidP="0079377F">
            <w:pPr>
              <w:spacing w:after="0" w:line="240" w:lineRule="auto"/>
              <w:rPr>
                <w:rFonts w:eastAsia="Times New Roman"/>
                <w:lang w:eastAsia="en-GB"/>
              </w:rPr>
            </w:pPr>
            <w:r w:rsidRPr="00A77027">
              <w:rPr>
                <w:rFonts w:eastAsia="Times New Roman"/>
                <w:lang w:eastAsia="en-GB"/>
              </w:rPr>
              <w:t>.</w:t>
            </w: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p>
          <w:p w:rsidR="00A77027" w:rsidRPr="00A77027" w:rsidRDefault="00A77027" w:rsidP="0079377F">
            <w:pPr>
              <w:spacing w:after="0" w:line="240" w:lineRule="auto"/>
              <w:rPr>
                <w:rFonts w:eastAsia="Times New Roman"/>
                <w:lang w:eastAsia="en-GB"/>
              </w:rPr>
            </w:pPr>
            <w:r w:rsidRPr="00A77027">
              <w:rPr>
                <w:rFonts w:eastAsia="Times New Roman"/>
                <w:lang w:eastAsia="en-GB"/>
              </w:rPr>
              <w:t>A total of 1,460 potential new jobs were created through the Assured Skills programme in Financial Services, ICT, Legal Services &amp; Advanced manufacturing sectors</w:t>
            </w:r>
            <w:r>
              <w:rPr>
                <w:rFonts w:eastAsia="Times New Roman"/>
                <w:lang w:eastAsia="en-GB"/>
              </w:rPr>
              <w:t>.</w:t>
            </w:r>
          </w:p>
        </w:tc>
        <w:tc>
          <w:tcPr>
            <w:tcW w:w="2446" w:type="dxa"/>
            <w:tcBorders>
              <w:top w:val="nil"/>
              <w:left w:val="triple" w:sz="4" w:space="0" w:color="auto"/>
              <w:bottom w:val="single" w:sz="4" w:space="0" w:color="auto"/>
              <w:right w:val="single" w:sz="4" w:space="0" w:color="auto"/>
            </w:tcBorders>
            <w:shd w:val="clear" w:color="000000" w:fill="D8D8D8"/>
            <w:hideMark/>
          </w:tcPr>
          <w:p w:rsidR="004A4FC6" w:rsidRPr="00A77027" w:rsidRDefault="006F1716" w:rsidP="00445620">
            <w:pPr>
              <w:spacing w:after="0" w:line="240" w:lineRule="auto"/>
              <w:rPr>
                <w:rFonts w:eastAsia="Times New Roman"/>
                <w:lang w:eastAsia="en-GB"/>
              </w:rPr>
            </w:pPr>
            <w:r w:rsidRPr="00A77027">
              <w:rPr>
                <w:rFonts w:eastAsia="Times New Roman"/>
                <w:lang w:eastAsia="en-GB"/>
              </w:rPr>
              <w:lastRenderedPageBreak/>
              <w:t>24 additional places are to be allocated to HE in FE by 2015/16</w:t>
            </w:r>
          </w:p>
          <w:p w:rsidR="004A4FC6" w:rsidRPr="00A77027" w:rsidRDefault="004A4FC6"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r w:rsidRPr="00A77027">
              <w:rPr>
                <w:rFonts w:eastAsia="Times New Roman"/>
                <w:lang w:eastAsia="en-GB"/>
              </w:rPr>
              <w:t>An additional 35</w:t>
            </w:r>
            <w:r w:rsidR="00857744" w:rsidRPr="00A77027">
              <w:rPr>
                <w:rFonts w:eastAsia="Times New Roman"/>
                <w:lang w:eastAsia="en-GB"/>
              </w:rPr>
              <w:t>1</w:t>
            </w:r>
            <w:r w:rsidRPr="00A77027">
              <w:rPr>
                <w:rFonts w:eastAsia="Times New Roman"/>
                <w:lang w:eastAsia="en-GB"/>
              </w:rPr>
              <w:t xml:space="preserve"> </w:t>
            </w:r>
            <w:proofErr w:type="spellStart"/>
            <w:r w:rsidRPr="00A77027">
              <w:rPr>
                <w:rFonts w:eastAsia="Times New Roman"/>
                <w:lang w:eastAsia="en-GB"/>
              </w:rPr>
              <w:t>Phd</w:t>
            </w:r>
            <w:proofErr w:type="spellEnd"/>
            <w:r w:rsidRPr="00A77027">
              <w:rPr>
                <w:rFonts w:eastAsia="Times New Roman"/>
                <w:lang w:eastAsia="en-GB"/>
              </w:rPr>
              <w:t xml:space="preserve"> places in areas of economic relevance, including STEM, by 2015/16</w:t>
            </w:r>
          </w:p>
          <w:p w:rsidR="006D025B" w:rsidRPr="00A77027" w:rsidRDefault="006D025B"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r w:rsidRPr="00A77027">
              <w:rPr>
                <w:rFonts w:eastAsia="Times New Roman"/>
                <w:lang w:eastAsia="en-GB"/>
              </w:rPr>
              <w:t>Support more students to undertake taught Masters programmes in strategically important subject areas agreed by the Department’s Working Groups (90 Masters scholarships provided in AY 2014/15 in economically relevant areas, covering the full cost of tuition fees).</w:t>
            </w:r>
          </w:p>
          <w:p w:rsidR="006D025B" w:rsidRPr="00A77027" w:rsidRDefault="006D025B" w:rsidP="00445620">
            <w:pPr>
              <w:spacing w:after="0" w:line="240" w:lineRule="auto"/>
              <w:rPr>
                <w:rFonts w:eastAsia="Times New Roman"/>
                <w:lang w:eastAsia="en-GB"/>
              </w:rPr>
            </w:pPr>
          </w:p>
          <w:p w:rsidR="00C903D8" w:rsidRPr="00A77027" w:rsidRDefault="00C903D8" w:rsidP="005A5FC9">
            <w:pPr>
              <w:spacing w:line="240" w:lineRule="auto"/>
            </w:pPr>
            <w:r w:rsidRPr="00A77027">
              <w:rPr>
                <w:rFonts w:eastAsia="Times New Roman"/>
                <w:lang w:eastAsia="en-GB"/>
              </w:rPr>
              <w:t xml:space="preserve">STEM USA pilot scheme under development to </w:t>
            </w:r>
            <w:r w:rsidRPr="00A77027">
              <w:t xml:space="preserve">enhance the teaching and learning experience of NI STEM undergraduates (narrow </w:t>
            </w:r>
            <w:r w:rsidRPr="00A77027">
              <w:lastRenderedPageBreak/>
              <w:t xml:space="preserve">STEM) by providing a high quality US study experience.  </w:t>
            </w:r>
          </w:p>
          <w:p w:rsidR="00D73EEB" w:rsidRPr="00A77027" w:rsidRDefault="00E05EFA" w:rsidP="00D73EEB">
            <w:pPr>
              <w:spacing w:after="0" w:line="240" w:lineRule="auto"/>
              <w:rPr>
                <w:rFonts w:eastAsia="Times New Roman"/>
                <w:lang w:eastAsia="en-GB"/>
              </w:rPr>
            </w:pPr>
            <w:r w:rsidRPr="00A77027">
              <w:rPr>
                <w:rFonts w:eastAsia="Times New Roman"/>
                <w:lang w:eastAsia="en-GB"/>
              </w:rPr>
              <w:t xml:space="preserve">The Department will continue to monitor college performance in this area. In addition, the Department is currently developing a revised strategy for further education in Northern Ireland, and one of the sub-themes will be to ensure that the funding model incentivises colleges to deliver the Department’s strategic priorities, including </w:t>
            </w:r>
            <w:proofErr w:type="gramStart"/>
            <w:r w:rsidRPr="00A77027">
              <w:rPr>
                <w:rFonts w:eastAsia="Times New Roman"/>
                <w:lang w:eastAsia="en-GB"/>
              </w:rPr>
              <w:t>STEM .</w:t>
            </w:r>
            <w:proofErr w:type="gramEnd"/>
          </w:p>
          <w:p w:rsidR="006D025B" w:rsidRPr="00A77027" w:rsidRDefault="006D025B"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r w:rsidRPr="00A77027">
              <w:rPr>
                <w:rFonts w:eastAsia="Times New Roman"/>
                <w:lang w:eastAsia="en-GB"/>
              </w:rPr>
              <w:t xml:space="preserve">549 additional STEM allocated places </w:t>
            </w:r>
          </w:p>
          <w:p w:rsidR="00CA4420" w:rsidRDefault="00CA4420" w:rsidP="00445620">
            <w:pPr>
              <w:spacing w:after="0" w:line="240" w:lineRule="auto"/>
              <w:rPr>
                <w:rFonts w:eastAsia="Times New Roman"/>
                <w:lang w:eastAsia="en-GB"/>
              </w:rPr>
            </w:pPr>
          </w:p>
          <w:p w:rsidR="00CA4420" w:rsidRPr="00A77027" w:rsidRDefault="00CA4420" w:rsidP="00445620">
            <w:pPr>
              <w:spacing w:after="0" w:line="240" w:lineRule="auto"/>
              <w:rPr>
                <w:rFonts w:eastAsia="Times New Roman"/>
                <w:lang w:eastAsia="en-GB"/>
              </w:rPr>
            </w:pPr>
            <w:r w:rsidRPr="00A77027">
              <w:rPr>
                <w:rFonts w:eastAsia="Times New Roman"/>
                <w:lang w:eastAsia="en-GB"/>
              </w:rPr>
              <w:t xml:space="preserve">STEM supplements in the regional newspapers are planned to encourage more people to consider STEM subjects, courses and </w:t>
            </w:r>
            <w:r w:rsidRPr="00A77027">
              <w:rPr>
                <w:rFonts w:eastAsia="Times New Roman"/>
                <w:lang w:eastAsia="en-GB"/>
              </w:rPr>
              <w:lastRenderedPageBreak/>
              <w:t xml:space="preserve">careers. </w:t>
            </w:r>
          </w:p>
          <w:p w:rsidR="00CA4420" w:rsidRPr="00A77027" w:rsidRDefault="00CA4420" w:rsidP="00445620">
            <w:pPr>
              <w:spacing w:after="0" w:line="240" w:lineRule="auto"/>
              <w:rPr>
                <w:rFonts w:eastAsia="Times New Roman"/>
                <w:lang w:eastAsia="en-GB"/>
              </w:rPr>
            </w:pPr>
          </w:p>
          <w:p w:rsidR="00CA4420" w:rsidRPr="00A77027" w:rsidRDefault="00CA4420" w:rsidP="00445620">
            <w:pPr>
              <w:spacing w:after="0" w:line="240" w:lineRule="auto"/>
              <w:rPr>
                <w:rFonts w:eastAsia="Times New Roman"/>
                <w:lang w:eastAsia="en-GB"/>
              </w:rPr>
            </w:pPr>
            <w:r w:rsidRPr="00A77027">
              <w:rPr>
                <w:rFonts w:eastAsia="Times New Roman"/>
                <w:lang w:eastAsia="en-GB"/>
              </w:rPr>
              <w:t>STEM Charter commitment to gender equality launched</w:t>
            </w:r>
          </w:p>
          <w:p w:rsidR="00CA4420" w:rsidRPr="00A77027" w:rsidRDefault="00CA4420" w:rsidP="00445620">
            <w:pPr>
              <w:spacing w:after="0" w:line="240" w:lineRule="auto"/>
              <w:rPr>
                <w:rFonts w:eastAsia="Times New Roman"/>
                <w:lang w:eastAsia="en-GB"/>
              </w:rPr>
            </w:pPr>
          </w:p>
          <w:p w:rsidR="00CA4420" w:rsidRPr="00A77027" w:rsidRDefault="00CA4420" w:rsidP="00445620">
            <w:pPr>
              <w:spacing w:after="0" w:line="240" w:lineRule="auto"/>
              <w:rPr>
                <w:rFonts w:eastAsia="Times New Roman"/>
                <w:lang w:eastAsia="en-GB"/>
              </w:rPr>
            </w:pPr>
            <w:r w:rsidRPr="00A77027">
              <w:rPr>
                <w:rFonts w:eastAsia="Times New Roman"/>
                <w:lang w:eastAsia="en-GB"/>
              </w:rPr>
              <w:t>STEM Employers Equality Network (SEEN) to be established.</w:t>
            </w:r>
          </w:p>
          <w:p w:rsidR="00CA4420" w:rsidRPr="00A77027" w:rsidRDefault="00CA4420" w:rsidP="00445620">
            <w:pPr>
              <w:spacing w:after="0" w:line="240" w:lineRule="auto"/>
              <w:rPr>
                <w:rFonts w:eastAsia="Times New Roman"/>
                <w:lang w:eastAsia="en-GB"/>
              </w:rPr>
            </w:pPr>
          </w:p>
          <w:p w:rsidR="00CA4420" w:rsidRPr="00A77027" w:rsidRDefault="00CA4420" w:rsidP="00445620">
            <w:pPr>
              <w:spacing w:after="0" w:line="240" w:lineRule="auto"/>
              <w:rPr>
                <w:rFonts w:eastAsia="Times New Roman"/>
                <w:lang w:eastAsia="en-GB"/>
              </w:rPr>
            </w:pPr>
            <w:r w:rsidRPr="00A77027">
              <w:rPr>
                <w:rFonts w:eastAsia="Times New Roman"/>
                <w:lang w:eastAsia="en-GB"/>
              </w:rPr>
              <w:t>8 students attended a STEM related summer school at Worcester Polytechnic Institute</w:t>
            </w:r>
          </w:p>
          <w:p w:rsidR="00CA4420" w:rsidRPr="00A77027" w:rsidRDefault="00CA4420" w:rsidP="00445620">
            <w:pPr>
              <w:spacing w:after="0" w:line="240" w:lineRule="auto"/>
              <w:rPr>
                <w:rFonts w:eastAsia="Times New Roman"/>
                <w:lang w:eastAsia="en-GB"/>
              </w:rPr>
            </w:pPr>
          </w:p>
          <w:p w:rsidR="00CA4420" w:rsidRPr="00A77027" w:rsidRDefault="00CA4420" w:rsidP="00445620">
            <w:pPr>
              <w:spacing w:after="0" w:line="240" w:lineRule="auto"/>
              <w:rPr>
                <w:rFonts w:eastAsia="Times New Roman"/>
                <w:lang w:eastAsia="en-GB"/>
              </w:rPr>
            </w:pPr>
            <w:r w:rsidRPr="00A77027">
              <w:rPr>
                <w:rFonts w:eastAsia="Times New Roman"/>
                <w:lang w:eastAsia="en-GB"/>
              </w:rPr>
              <w:t>Support to the 2015 NI Science Festival.</w:t>
            </w:r>
          </w:p>
          <w:p w:rsidR="00CA4420" w:rsidRPr="00A77027" w:rsidRDefault="00CA4420" w:rsidP="00445620">
            <w:pPr>
              <w:spacing w:after="0" w:line="240" w:lineRule="auto"/>
              <w:rPr>
                <w:rFonts w:eastAsia="Times New Roman"/>
                <w:lang w:eastAsia="en-GB"/>
              </w:rPr>
            </w:pPr>
          </w:p>
          <w:p w:rsidR="00CA4420" w:rsidRPr="00A77027" w:rsidRDefault="00CA4420" w:rsidP="00445620">
            <w:pPr>
              <w:spacing w:after="0" w:line="240" w:lineRule="auto"/>
              <w:rPr>
                <w:rFonts w:eastAsia="Times New Roman"/>
                <w:lang w:eastAsia="en-GB"/>
              </w:rPr>
            </w:pPr>
            <w:r w:rsidRPr="00A77027">
              <w:rPr>
                <w:rFonts w:eastAsia="Times New Roman"/>
                <w:lang w:eastAsia="en-GB"/>
              </w:rPr>
              <w:t>A third cohort of the level 3 ICT apprenticeship.</w:t>
            </w:r>
          </w:p>
          <w:p w:rsidR="00C87E8C" w:rsidRPr="00A77027" w:rsidRDefault="00C87E8C" w:rsidP="00445620">
            <w:pPr>
              <w:spacing w:after="0" w:line="240" w:lineRule="auto"/>
              <w:rPr>
                <w:rFonts w:eastAsia="Times New Roman"/>
                <w:lang w:eastAsia="en-GB"/>
              </w:rPr>
            </w:pPr>
          </w:p>
          <w:p w:rsidR="00C87E8C" w:rsidRPr="00A77027" w:rsidRDefault="00A77027" w:rsidP="00A77027">
            <w:pPr>
              <w:spacing w:after="0" w:line="240" w:lineRule="auto"/>
              <w:rPr>
                <w:rFonts w:eastAsia="Times New Roman"/>
                <w:lang w:eastAsia="en-GB"/>
              </w:rPr>
            </w:pPr>
            <w:r w:rsidRPr="00A77027">
              <w:rPr>
                <w:rFonts w:asciiTheme="minorHAnsi" w:eastAsia="Times New Roman" w:hAnsiTheme="minorHAnsi"/>
                <w:lang w:eastAsia="en-GB"/>
              </w:rPr>
              <w:t xml:space="preserve">During the financial year 2014/15 Assured Skills </w:t>
            </w:r>
            <w:r w:rsidRPr="00A77027">
              <w:rPr>
                <w:rFonts w:asciiTheme="minorHAnsi" w:hAnsiTheme="minorHAnsi" w:cstheme="minorHAnsi"/>
              </w:rPr>
              <w:t>will work in support of Invest NI’s Investment Strategy by contributing to 1,100 jobs, through the provision of bespoke training support, by March 2015.</w:t>
            </w:r>
          </w:p>
        </w:tc>
        <w:tc>
          <w:tcPr>
            <w:tcW w:w="1243" w:type="dxa"/>
            <w:tcBorders>
              <w:top w:val="nil"/>
              <w:left w:val="nil"/>
              <w:bottom w:val="single" w:sz="4" w:space="0" w:color="auto"/>
              <w:right w:val="single" w:sz="4" w:space="0" w:color="auto"/>
            </w:tcBorders>
            <w:shd w:val="clear" w:color="000000" w:fill="D8D8D8"/>
            <w:noWrap/>
            <w:hideMark/>
          </w:tcPr>
          <w:p w:rsidR="006D025B" w:rsidRPr="00A77027" w:rsidRDefault="006F1716" w:rsidP="00445620">
            <w:pPr>
              <w:spacing w:after="0" w:line="240" w:lineRule="auto"/>
              <w:rPr>
                <w:rFonts w:eastAsia="Times New Roman"/>
                <w:lang w:eastAsia="en-GB"/>
              </w:rPr>
            </w:pPr>
            <w:r w:rsidRPr="00A77027">
              <w:rPr>
                <w:rFonts w:eastAsia="Times New Roman"/>
                <w:lang w:eastAsia="en-GB"/>
              </w:rPr>
              <w:lastRenderedPageBreak/>
              <w:t>Sept 2015</w:t>
            </w:r>
          </w:p>
          <w:p w:rsidR="006D025B" w:rsidRPr="00A77027" w:rsidRDefault="006D025B"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p>
          <w:p w:rsidR="005A5FC9" w:rsidRPr="00A77027" w:rsidRDefault="005A5FC9" w:rsidP="00445620">
            <w:pPr>
              <w:spacing w:after="0" w:line="240" w:lineRule="auto"/>
              <w:rPr>
                <w:rFonts w:eastAsia="Times New Roman"/>
                <w:lang w:eastAsia="en-GB"/>
              </w:rPr>
            </w:pPr>
          </w:p>
          <w:p w:rsidR="006D025B" w:rsidRPr="00A77027" w:rsidRDefault="00857744" w:rsidP="00445620">
            <w:pPr>
              <w:spacing w:after="0" w:line="240" w:lineRule="auto"/>
              <w:rPr>
                <w:rFonts w:eastAsia="Times New Roman"/>
                <w:lang w:eastAsia="en-GB"/>
              </w:rPr>
            </w:pPr>
            <w:r w:rsidRPr="00A77027">
              <w:rPr>
                <w:rFonts w:eastAsia="Times New Roman"/>
                <w:lang w:eastAsia="en-GB"/>
              </w:rPr>
              <w:t>Sept 2015</w:t>
            </w:r>
          </w:p>
          <w:p w:rsidR="006D025B" w:rsidRPr="00A77027" w:rsidRDefault="006D025B" w:rsidP="00445620">
            <w:pPr>
              <w:spacing w:after="0" w:line="240" w:lineRule="auto"/>
              <w:rPr>
                <w:rFonts w:eastAsia="Times New Roman"/>
                <w:lang w:eastAsia="en-GB"/>
              </w:rPr>
            </w:pPr>
          </w:p>
          <w:p w:rsidR="005A5FC9" w:rsidRPr="00A77027" w:rsidRDefault="005A5FC9"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p>
          <w:p w:rsidR="006D025B" w:rsidRPr="00A77027" w:rsidRDefault="00027882" w:rsidP="005375E8">
            <w:pPr>
              <w:spacing w:after="0" w:line="240" w:lineRule="auto"/>
              <w:rPr>
                <w:rFonts w:eastAsia="Times New Roman"/>
                <w:lang w:eastAsia="en-GB"/>
              </w:rPr>
            </w:pPr>
            <w:r w:rsidRPr="00A77027">
              <w:rPr>
                <w:rFonts w:eastAsia="Times New Roman"/>
                <w:lang w:eastAsia="en-GB"/>
              </w:rPr>
              <w:t>Sept 2014 to Aug 2015</w:t>
            </w: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Default="006D025B" w:rsidP="005375E8">
            <w:pPr>
              <w:spacing w:after="0" w:line="240" w:lineRule="auto"/>
              <w:rPr>
                <w:rFonts w:eastAsia="Times New Roman"/>
                <w:lang w:eastAsia="en-GB"/>
              </w:rPr>
            </w:pPr>
          </w:p>
          <w:p w:rsidR="007B5774" w:rsidRPr="00A77027" w:rsidRDefault="007B5774"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C15229" w:rsidP="005375E8">
            <w:pPr>
              <w:spacing w:after="0" w:line="240" w:lineRule="auto"/>
              <w:rPr>
                <w:rFonts w:eastAsia="Times New Roman"/>
                <w:lang w:eastAsia="en-GB"/>
              </w:rPr>
            </w:pPr>
            <w:r w:rsidRPr="00A77027">
              <w:rPr>
                <w:rFonts w:eastAsia="Times New Roman"/>
                <w:lang w:eastAsia="en-GB"/>
              </w:rPr>
              <w:t>Commence Summer 2015</w:t>
            </w: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Default="006D025B" w:rsidP="005375E8">
            <w:pPr>
              <w:spacing w:after="0" w:line="240" w:lineRule="auto"/>
              <w:rPr>
                <w:rFonts w:eastAsia="Times New Roman"/>
                <w:lang w:eastAsia="en-GB"/>
              </w:rPr>
            </w:pPr>
          </w:p>
          <w:p w:rsidR="007B5774" w:rsidRPr="00A77027" w:rsidRDefault="007B5774"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D73EEB" w:rsidRPr="00A77027" w:rsidRDefault="00E05EFA" w:rsidP="00445620">
            <w:pPr>
              <w:spacing w:after="0" w:line="240" w:lineRule="auto"/>
              <w:rPr>
                <w:rFonts w:eastAsia="Times New Roman"/>
                <w:lang w:eastAsia="en-GB"/>
              </w:rPr>
            </w:pPr>
            <w:r w:rsidRPr="00A77027">
              <w:rPr>
                <w:rFonts w:eastAsia="Times New Roman"/>
                <w:lang w:eastAsia="en-GB"/>
              </w:rPr>
              <w:t>2015</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5A5FC9" w:rsidRPr="00A77027" w:rsidRDefault="005A5FC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Default="00C15229" w:rsidP="00445620">
            <w:pPr>
              <w:spacing w:after="0" w:line="240" w:lineRule="auto"/>
              <w:rPr>
                <w:rFonts w:eastAsia="Times New Roman"/>
                <w:lang w:eastAsia="en-GB"/>
              </w:rPr>
            </w:pPr>
          </w:p>
          <w:p w:rsidR="007B5774" w:rsidRPr="00A77027" w:rsidRDefault="007B5774"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1832BD" w:rsidP="00445620">
            <w:pPr>
              <w:spacing w:after="0" w:line="240" w:lineRule="auto"/>
              <w:rPr>
                <w:rFonts w:eastAsia="Times New Roman"/>
                <w:lang w:eastAsia="en-GB"/>
              </w:rPr>
            </w:pPr>
            <w:r>
              <w:rPr>
                <w:rFonts w:eastAsia="Times New Roman"/>
                <w:lang w:eastAsia="en-GB"/>
              </w:rPr>
              <w:t xml:space="preserve">Academic Year </w:t>
            </w:r>
            <w:r w:rsidR="00C15229" w:rsidRPr="00A77027">
              <w:rPr>
                <w:rFonts w:eastAsia="Times New Roman"/>
                <w:lang w:eastAsia="en-GB"/>
              </w:rPr>
              <w:t>2014/15</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r w:rsidRPr="00A77027">
              <w:rPr>
                <w:rFonts w:eastAsia="Times New Roman"/>
                <w:lang w:eastAsia="en-GB"/>
              </w:rPr>
              <w:t>Feb and Sept 2014 and Feb 2015</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7B5774" w:rsidRDefault="007B5774"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r w:rsidRPr="00A77027">
              <w:rPr>
                <w:rFonts w:eastAsia="Times New Roman"/>
                <w:lang w:eastAsia="en-GB"/>
              </w:rPr>
              <w:t>June 2014</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r w:rsidRPr="00A77027">
              <w:rPr>
                <w:rFonts w:eastAsia="Times New Roman"/>
                <w:lang w:eastAsia="en-GB"/>
              </w:rPr>
              <w:t>On going</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7B5774" w:rsidRDefault="007B5774"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r w:rsidRPr="00A77027">
              <w:rPr>
                <w:rFonts w:eastAsia="Times New Roman"/>
                <w:lang w:eastAsia="en-GB"/>
              </w:rPr>
              <w:t>Summer 2014</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r w:rsidRPr="00A77027">
              <w:rPr>
                <w:rFonts w:eastAsia="Times New Roman"/>
                <w:lang w:eastAsia="en-GB"/>
              </w:rPr>
              <w:t>Feb 2015</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r w:rsidRPr="00A77027">
              <w:rPr>
                <w:rFonts w:eastAsia="Times New Roman"/>
                <w:lang w:eastAsia="en-GB"/>
              </w:rPr>
              <w:t>Launched in August 2014</w:t>
            </w:r>
          </w:p>
          <w:p w:rsidR="00A77027" w:rsidRDefault="00A77027" w:rsidP="00445620">
            <w:pPr>
              <w:spacing w:after="0" w:line="240" w:lineRule="auto"/>
              <w:rPr>
                <w:rFonts w:eastAsia="Times New Roman"/>
                <w:lang w:eastAsia="en-GB"/>
              </w:rPr>
            </w:pPr>
          </w:p>
          <w:p w:rsidR="00A77027" w:rsidRPr="00A77027" w:rsidRDefault="00A77027" w:rsidP="00445620">
            <w:pPr>
              <w:spacing w:after="0" w:line="240" w:lineRule="auto"/>
              <w:rPr>
                <w:rFonts w:eastAsia="Times New Roman"/>
                <w:lang w:eastAsia="en-GB"/>
              </w:rPr>
            </w:pPr>
          </w:p>
          <w:p w:rsidR="00A77027" w:rsidRPr="00A77027" w:rsidRDefault="001832BD" w:rsidP="001832BD">
            <w:pPr>
              <w:spacing w:after="0" w:line="240" w:lineRule="auto"/>
              <w:rPr>
                <w:rFonts w:eastAsia="Times New Roman"/>
                <w:lang w:eastAsia="en-GB"/>
              </w:rPr>
            </w:pPr>
            <w:r>
              <w:rPr>
                <w:rFonts w:eastAsia="Times New Roman"/>
                <w:lang w:eastAsia="en-GB"/>
              </w:rPr>
              <w:t xml:space="preserve">Financial Year </w:t>
            </w:r>
            <w:r w:rsidR="00A77027" w:rsidRPr="00A77027">
              <w:rPr>
                <w:rFonts w:eastAsia="Times New Roman"/>
                <w:lang w:eastAsia="en-GB"/>
              </w:rPr>
              <w:t>2014/15</w:t>
            </w:r>
          </w:p>
        </w:tc>
        <w:tc>
          <w:tcPr>
            <w:tcW w:w="1771" w:type="dxa"/>
            <w:tcBorders>
              <w:top w:val="nil"/>
              <w:left w:val="single" w:sz="4" w:space="0" w:color="auto"/>
              <w:bottom w:val="single" w:sz="4" w:space="0" w:color="000000"/>
              <w:right w:val="single" w:sz="4" w:space="0" w:color="auto"/>
            </w:tcBorders>
            <w:shd w:val="clear" w:color="000000" w:fill="D8D8D8"/>
            <w:hideMark/>
          </w:tcPr>
          <w:p w:rsidR="00C15229" w:rsidRPr="00A77027" w:rsidRDefault="00C15229" w:rsidP="00445620">
            <w:pPr>
              <w:spacing w:after="0" w:line="240" w:lineRule="auto"/>
              <w:rPr>
                <w:rFonts w:eastAsia="Times New Roman"/>
                <w:lang w:eastAsia="en-GB"/>
              </w:rPr>
            </w:pPr>
            <w:r w:rsidRPr="00A77027">
              <w:rPr>
                <w:rFonts w:eastAsia="Times New Roman"/>
                <w:lang w:eastAsia="en-GB"/>
              </w:rPr>
              <w:lastRenderedPageBreak/>
              <w:t>HE &amp; FE Divisions</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r w:rsidRPr="00A77027">
              <w:rPr>
                <w:rFonts w:eastAsia="Times New Roman"/>
                <w:lang w:eastAsia="en-GB"/>
              </w:rPr>
              <w:t>HE Division</w:t>
            </w: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p>
          <w:p w:rsidR="00C15229" w:rsidRPr="00A77027" w:rsidRDefault="00C15229" w:rsidP="00445620">
            <w:pPr>
              <w:spacing w:after="0" w:line="240" w:lineRule="auto"/>
              <w:rPr>
                <w:rFonts w:eastAsia="Times New Roman"/>
                <w:lang w:eastAsia="en-GB"/>
              </w:rPr>
            </w:pPr>
            <w:r w:rsidRPr="00A77027">
              <w:rPr>
                <w:rFonts w:eastAsia="Times New Roman"/>
                <w:lang w:eastAsia="en-GB"/>
              </w:rPr>
              <w:t>HE Division</w:t>
            </w:r>
          </w:p>
          <w:p w:rsidR="00C15229" w:rsidRPr="00A77027" w:rsidRDefault="00C15229"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p>
          <w:p w:rsidR="006D025B" w:rsidRPr="00A77027" w:rsidRDefault="006D025B" w:rsidP="00445620">
            <w:pPr>
              <w:spacing w:after="0" w:line="240" w:lineRule="auto"/>
              <w:rPr>
                <w:rFonts w:eastAsia="Times New Roman"/>
                <w:lang w:eastAsia="en-GB"/>
              </w:rPr>
            </w:pPr>
          </w:p>
          <w:p w:rsidR="005A5FC9" w:rsidRPr="00A77027" w:rsidRDefault="005A5FC9" w:rsidP="005375E8">
            <w:pPr>
              <w:spacing w:after="0" w:line="240" w:lineRule="auto"/>
              <w:rPr>
                <w:rFonts w:eastAsia="Times New Roman"/>
                <w:lang w:eastAsia="en-GB"/>
              </w:rPr>
            </w:pPr>
          </w:p>
          <w:p w:rsidR="005A5FC9" w:rsidRPr="00A77027" w:rsidRDefault="005A5FC9" w:rsidP="005375E8">
            <w:pPr>
              <w:spacing w:after="0" w:line="240" w:lineRule="auto"/>
              <w:rPr>
                <w:rFonts w:eastAsia="Times New Roman"/>
                <w:lang w:eastAsia="en-GB"/>
              </w:rPr>
            </w:pPr>
          </w:p>
          <w:p w:rsidR="005A5FC9" w:rsidRPr="00A77027" w:rsidRDefault="005A5FC9" w:rsidP="005375E8">
            <w:pPr>
              <w:spacing w:after="0" w:line="240" w:lineRule="auto"/>
              <w:rPr>
                <w:rFonts w:eastAsia="Times New Roman"/>
                <w:lang w:eastAsia="en-GB"/>
              </w:rPr>
            </w:pPr>
          </w:p>
          <w:p w:rsidR="005A5FC9" w:rsidRPr="00A77027" w:rsidRDefault="005A5FC9" w:rsidP="005375E8">
            <w:pPr>
              <w:spacing w:after="0" w:line="240" w:lineRule="auto"/>
              <w:rPr>
                <w:rFonts w:eastAsia="Times New Roman"/>
                <w:lang w:eastAsia="en-GB"/>
              </w:rPr>
            </w:pPr>
          </w:p>
          <w:p w:rsidR="005A5FC9" w:rsidRPr="00A77027" w:rsidRDefault="005A5FC9" w:rsidP="005375E8">
            <w:pPr>
              <w:spacing w:after="0" w:line="240" w:lineRule="auto"/>
              <w:rPr>
                <w:rFonts w:eastAsia="Times New Roman"/>
                <w:lang w:eastAsia="en-GB"/>
              </w:rPr>
            </w:pPr>
          </w:p>
          <w:p w:rsidR="005A5FC9" w:rsidRPr="00A77027" w:rsidRDefault="005A5FC9" w:rsidP="005375E8">
            <w:pPr>
              <w:spacing w:after="0" w:line="240" w:lineRule="auto"/>
              <w:rPr>
                <w:rFonts w:eastAsia="Times New Roman"/>
                <w:lang w:eastAsia="en-GB"/>
              </w:rPr>
            </w:pPr>
          </w:p>
          <w:p w:rsidR="005A5FC9" w:rsidRPr="00A77027" w:rsidRDefault="005A5FC9" w:rsidP="005375E8">
            <w:pPr>
              <w:spacing w:after="0" w:line="240" w:lineRule="auto"/>
              <w:rPr>
                <w:rFonts w:eastAsia="Times New Roman"/>
                <w:lang w:eastAsia="en-GB"/>
              </w:rPr>
            </w:pPr>
          </w:p>
          <w:p w:rsidR="005A5FC9" w:rsidRPr="00A77027" w:rsidRDefault="005A5FC9" w:rsidP="005375E8">
            <w:pPr>
              <w:spacing w:after="0" w:line="240" w:lineRule="auto"/>
              <w:rPr>
                <w:rFonts w:eastAsia="Times New Roman"/>
                <w:lang w:eastAsia="en-GB"/>
              </w:rPr>
            </w:pPr>
          </w:p>
          <w:p w:rsidR="006D025B" w:rsidRPr="00A77027" w:rsidRDefault="00027882" w:rsidP="005375E8">
            <w:pPr>
              <w:spacing w:after="0" w:line="240" w:lineRule="auto"/>
              <w:rPr>
                <w:rFonts w:eastAsia="Times New Roman"/>
                <w:lang w:eastAsia="en-GB"/>
              </w:rPr>
            </w:pPr>
            <w:r w:rsidRPr="00A77027">
              <w:rPr>
                <w:rFonts w:eastAsia="Times New Roman"/>
                <w:lang w:eastAsia="en-GB"/>
              </w:rPr>
              <w:t>HE Division</w:t>
            </w: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C15229" w:rsidP="005375E8">
            <w:pPr>
              <w:spacing w:after="0" w:line="240" w:lineRule="auto"/>
              <w:rPr>
                <w:rFonts w:eastAsia="Times New Roman"/>
                <w:lang w:eastAsia="en-GB"/>
              </w:rPr>
            </w:pPr>
            <w:r w:rsidRPr="00A77027">
              <w:rPr>
                <w:rFonts w:eastAsia="Times New Roman"/>
                <w:lang w:eastAsia="en-GB"/>
              </w:rPr>
              <w:t>FE Division</w:t>
            </w: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6D025B" w:rsidRPr="00A77027" w:rsidRDefault="006D025B"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15229" w:rsidRPr="00A77027" w:rsidRDefault="00C15229" w:rsidP="005375E8">
            <w:pPr>
              <w:spacing w:after="0" w:line="240" w:lineRule="auto"/>
              <w:rPr>
                <w:rFonts w:eastAsia="Times New Roman"/>
                <w:lang w:eastAsia="en-GB"/>
              </w:rPr>
            </w:pPr>
          </w:p>
          <w:p w:rsidR="00C15229" w:rsidRPr="00A77027" w:rsidRDefault="00C15229" w:rsidP="005375E8">
            <w:pPr>
              <w:spacing w:after="0" w:line="240" w:lineRule="auto"/>
              <w:rPr>
                <w:rFonts w:eastAsia="Times New Roman"/>
                <w:lang w:eastAsia="en-GB"/>
              </w:rPr>
            </w:pPr>
            <w:r w:rsidRPr="00A77027">
              <w:rPr>
                <w:rFonts w:eastAsia="Times New Roman"/>
                <w:lang w:eastAsia="en-GB"/>
              </w:rPr>
              <w:t>HE Division</w:t>
            </w: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15229" w:rsidP="005375E8">
            <w:pPr>
              <w:spacing w:after="0" w:line="240" w:lineRule="auto"/>
              <w:rPr>
                <w:rFonts w:eastAsia="Times New Roman"/>
                <w:lang w:eastAsia="en-GB"/>
              </w:rPr>
            </w:pPr>
            <w:r w:rsidRPr="00A77027">
              <w:rPr>
                <w:rFonts w:eastAsia="Times New Roman"/>
                <w:lang w:eastAsia="en-GB"/>
              </w:rPr>
              <w:t>Skills &amp; Industry Division</w:t>
            </w: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15229" w:rsidRPr="00A77027" w:rsidRDefault="00C15229" w:rsidP="00C15229">
            <w:pPr>
              <w:spacing w:after="0" w:line="240" w:lineRule="auto"/>
              <w:rPr>
                <w:rFonts w:eastAsia="Times New Roman"/>
                <w:lang w:eastAsia="en-GB"/>
              </w:rPr>
            </w:pPr>
            <w:r w:rsidRPr="00A77027">
              <w:rPr>
                <w:rFonts w:eastAsia="Times New Roman"/>
                <w:lang w:eastAsia="en-GB"/>
              </w:rPr>
              <w:t>Skills &amp; Industry Division</w:t>
            </w:r>
          </w:p>
          <w:p w:rsidR="00C15229" w:rsidRPr="00A77027" w:rsidRDefault="00C15229"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15229" w:rsidRPr="00A77027" w:rsidRDefault="00C15229" w:rsidP="00C15229">
            <w:pPr>
              <w:spacing w:after="0" w:line="240" w:lineRule="auto"/>
              <w:rPr>
                <w:rFonts w:eastAsia="Times New Roman"/>
                <w:lang w:eastAsia="en-GB"/>
              </w:rPr>
            </w:pPr>
            <w:r w:rsidRPr="00A77027">
              <w:rPr>
                <w:rFonts w:eastAsia="Times New Roman"/>
                <w:lang w:eastAsia="en-GB"/>
              </w:rPr>
              <w:t>Skills &amp; Industry Division</w:t>
            </w: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15229" w:rsidRPr="00A77027" w:rsidRDefault="00C15229" w:rsidP="00C15229">
            <w:pPr>
              <w:spacing w:after="0" w:line="240" w:lineRule="auto"/>
              <w:rPr>
                <w:rFonts w:eastAsia="Times New Roman"/>
                <w:lang w:eastAsia="en-GB"/>
              </w:rPr>
            </w:pPr>
            <w:r w:rsidRPr="00A77027">
              <w:rPr>
                <w:rFonts w:eastAsia="Times New Roman"/>
                <w:lang w:eastAsia="en-GB"/>
              </w:rPr>
              <w:t>Skills &amp; Industry Division</w:t>
            </w: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C15229" w:rsidRPr="00A77027" w:rsidRDefault="00C15229" w:rsidP="00C15229">
            <w:pPr>
              <w:spacing w:after="0" w:line="240" w:lineRule="auto"/>
              <w:rPr>
                <w:rFonts w:eastAsia="Times New Roman"/>
                <w:lang w:eastAsia="en-GB"/>
              </w:rPr>
            </w:pPr>
            <w:r w:rsidRPr="00A77027">
              <w:rPr>
                <w:rFonts w:eastAsia="Times New Roman"/>
                <w:lang w:eastAsia="en-GB"/>
              </w:rPr>
              <w:t>Skills &amp; Industry Division</w:t>
            </w:r>
          </w:p>
          <w:p w:rsidR="00C87E8C" w:rsidRPr="00A77027" w:rsidRDefault="00C87E8C" w:rsidP="005375E8">
            <w:pPr>
              <w:spacing w:after="0" w:line="240" w:lineRule="auto"/>
              <w:rPr>
                <w:rFonts w:eastAsia="Times New Roman"/>
                <w:lang w:eastAsia="en-GB"/>
              </w:rPr>
            </w:pPr>
          </w:p>
          <w:p w:rsidR="00C15229" w:rsidRPr="00A77027" w:rsidRDefault="00C15229" w:rsidP="00C15229">
            <w:pPr>
              <w:spacing w:after="0" w:line="240" w:lineRule="auto"/>
              <w:rPr>
                <w:rFonts w:eastAsia="Times New Roman"/>
                <w:lang w:eastAsia="en-GB"/>
              </w:rPr>
            </w:pPr>
            <w:r w:rsidRPr="00A77027">
              <w:rPr>
                <w:rFonts w:eastAsia="Times New Roman"/>
                <w:lang w:eastAsia="en-GB"/>
              </w:rPr>
              <w:t>Skills &amp; Industry Division</w:t>
            </w:r>
          </w:p>
          <w:p w:rsidR="00C15229" w:rsidRPr="00A77027" w:rsidRDefault="00C15229" w:rsidP="005375E8">
            <w:pPr>
              <w:spacing w:after="0" w:line="240" w:lineRule="auto"/>
              <w:rPr>
                <w:rFonts w:eastAsia="Times New Roman"/>
                <w:lang w:eastAsia="en-GB"/>
              </w:rPr>
            </w:pPr>
          </w:p>
          <w:p w:rsidR="00C87E8C" w:rsidRPr="00A77027" w:rsidRDefault="00C87E8C" w:rsidP="005375E8">
            <w:pPr>
              <w:spacing w:after="0" w:line="240" w:lineRule="auto"/>
              <w:rPr>
                <w:rFonts w:eastAsia="Times New Roman"/>
                <w:lang w:eastAsia="en-GB"/>
              </w:rPr>
            </w:pPr>
          </w:p>
          <w:p w:rsidR="00A77027" w:rsidRPr="00A77027" w:rsidRDefault="00A77027" w:rsidP="00A77027">
            <w:pPr>
              <w:spacing w:after="0" w:line="240" w:lineRule="auto"/>
              <w:rPr>
                <w:rFonts w:eastAsia="Times New Roman"/>
                <w:lang w:eastAsia="en-GB"/>
              </w:rPr>
            </w:pPr>
            <w:r w:rsidRPr="00A77027">
              <w:rPr>
                <w:rFonts w:eastAsia="Times New Roman"/>
                <w:lang w:eastAsia="en-GB"/>
              </w:rPr>
              <w:t>Skills &amp; Industry Division</w:t>
            </w:r>
          </w:p>
          <w:p w:rsidR="00C87E8C" w:rsidRPr="00A77027" w:rsidRDefault="00C87E8C" w:rsidP="005375E8">
            <w:pPr>
              <w:spacing w:after="0" w:line="240" w:lineRule="auto"/>
              <w:rPr>
                <w:rFonts w:eastAsia="Times New Roman"/>
                <w:lang w:eastAsia="en-GB"/>
              </w:rPr>
            </w:pPr>
          </w:p>
          <w:p w:rsidR="00063C11" w:rsidRPr="00A77027" w:rsidRDefault="00063C11">
            <w:pPr>
              <w:spacing w:after="0" w:line="240" w:lineRule="auto"/>
              <w:rPr>
                <w:rFonts w:eastAsia="Times New Roman"/>
                <w:lang w:eastAsia="en-GB"/>
              </w:rPr>
            </w:pPr>
          </w:p>
        </w:tc>
      </w:tr>
      <w:tr w:rsidR="001832BD" w:rsidRPr="00445620" w:rsidTr="00AE5996">
        <w:trPr>
          <w:trHeight w:val="6605"/>
        </w:trPr>
        <w:tc>
          <w:tcPr>
            <w:tcW w:w="2709" w:type="dxa"/>
            <w:vMerge/>
            <w:tcBorders>
              <w:top w:val="nil"/>
              <w:left w:val="single" w:sz="4" w:space="0" w:color="auto"/>
              <w:bottom w:val="single" w:sz="4" w:space="0" w:color="000000"/>
              <w:right w:val="single" w:sz="4" w:space="0" w:color="auto"/>
            </w:tcBorders>
            <w:vAlign w:val="center"/>
            <w:hideMark/>
          </w:tcPr>
          <w:p w:rsidR="006D025B" w:rsidRPr="00445620" w:rsidRDefault="006D025B" w:rsidP="00445620">
            <w:pPr>
              <w:spacing w:after="0" w:line="240" w:lineRule="auto"/>
              <w:rPr>
                <w:rFonts w:eastAsia="Times New Roman"/>
                <w:color w:val="000000"/>
                <w:lang w:eastAsia="en-GB"/>
              </w:rPr>
            </w:pPr>
          </w:p>
        </w:tc>
        <w:tc>
          <w:tcPr>
            <w:tcW w:w="3304" w:type="dxa"/>
            <w:tcBorders>
              <w:top w:val="nil"/>
              <w:left w:val="nil"/>
              <w:bottom w:val="single" w:sz="4" w:space="0" w:color="auto"/>
              <w:right w:val="single" w:sz="4" w:space="0" w:color="auto"/>
            </w:tcBorders>
            <w:shd w:val="clear" w:color="000000" w:fill="D8D8D8"/>
            <w:hideMark/>
          </w:tcPr>
          <w:p w:rsidR="0032468D" w:rsidRPr="005A5FC9" w:rsidRDefault="0032468D" w:rsidP="005A5FC9">
            <w:pPr>
              <w:spacing w:line="240" w:lineRule="auto"/>
              <w:rPr>
                <w:rFonts w:asciiTheme="minorHAnsi" w:hAnsiTheme="minorHAnsi" w:cs="Arial"/>
              </w:rPr>
            </w:pPr>
            <w:r w:rsidRPr="005A5FC9">
              <w:rPr>
                <w:rFonts w:asciiTheme="minorHAnsi" w:hAnsiTheme="minorHAnsi" w:cs="Arial"/>
              </w:rPr>
              <w:t xml:space="preserve">The Department has launched </w:t>
            </w:r>
            <w:r w:rsidRPr="005A5FC9">
              <w:rPr>
                <w:rFonts w:asciiTheme="minorHAnsi" w:hAnsiTheme="minorHAnsi" w:cs="Arial"/>
                <w:i/>
                <w:iCs/>
              </w:rPr>
              <w:t>Securing our Success</w:t>
            </w:r>
            <w:r w:rsidRPr="005A5FC9">
              <w:rPr>
                <w:rFonts w:asciiTheme="minorHAnsi" w:hAnsiTheme="minorHAnsi" w:cs="Arial"/>
              </w:rPr>
              <w:t>, a new Strategy on</w:t>
            </w:r>
            <w:proofErr w:type="gramStart"/>
            <w:r w:rsidRPr="005A5FC9">
              <w:rPr>
                <w:rFonts w:asciiTheme="minorHAnsi" w:hAnsiTheme="minorHAnsi" w:cs="Arial"/>
              </w:rPr>
              <w:t>  apprenticeships</w:t>
            </w:r>
            <w:proofErr w:type="gramEnd"/>
            <w:r w:rsidRPr="005A5FC9">
              <w:rPr>
                <w:rFonts w:asciiTheme="minorHAnsi" w:hAnsiTheme="minorHAnsi" w:cs="Arial"/>
              </w:rPr>
              <w:t>.  The new Strategy is central to transforming our skills landscape and has a particular focus on raising skill levels in STEM areas.</w:t>
            </w:r>
          </w:p>
          <w:p w:rsidR="00C87E8C" w:rsidRPr="005A5FC9" w:rsidRDefault="00C87E8C" w:rsidP="005A5FC9">
            <w:pPr>
              <w:spacing w:after="0" w:line="240" w:lineRule="auto"/>
              <w:rPr>
                <w:rFonts w:asciiTheme="minorHAnsi" w:eastAsia="Times New Roman" w:hAnsiTheme="minorHAnsi"/>
                <w:lang w:eastAsia="en-GB"/>
              </w:rPr>
            </w:pPr>
          </w:p>
          <w:p w:rsidR="00C87E8C" w:rsidRPr="005A5FC9" w:rsidRDefault="0032468D" w:rsidP="005A5FC9">
            <w:pPr>
              <w:spacing w:after="0" w:line="240" w:lineRule="auto"/>
              <w:rPr>
                <w:rFonts w:asciiTheme="minorHAnsi" w:eastAsia="Times New Roman" w:hAnsiTheme="minorHAnsi"/>
                <w:lang w:eastAsia="en-GB"/>
              </w:rPr>
            </w:pPr>
            <w:r w:rsidRPr="005A5FC9">
              <w:rPr>
                <w:rFonts w:asciiTheme="minorHAnsi" w:hAnsiTheme="minorHAnsi" w:cs="Arial"/>
              </w:rPr>
              <w:t xml:space="preserve">The Department has commissioned a review of youth training, to align training provision at level 2 with the priority skills needed for the NI economy, including Science, Technology, Engineering and Mathematics (STEM). </w:t>
            </w:r>
          </w:p>
          <w:p w:rsidR="00C87E8C" w:rsidRDefault="00C87E8C" w:rsidP="00445620">
            <w:pPr>
              <w:spacing w:after="0" w:line="240" w:lineRule="auto"/>
              <w:rPr>
                <w:rFonts w:eastAsia="Times New Roman"/>
                <w:color w:val="000000"/>
                <w:lang w:eastAsia="en-GB"/>
              </w:rPr>
            </w:pPr>
          </w:p>
          <w:p w:rsidR="00C87E8C" w:rsidRPr="00C87E8C" w:rsidRDefault="00C87E8C" w:rsidP="00445620">
            <w:pPr>
              <w:spacing w:after="0" w:line="240" w:lineRule="auto"/>
              <w:rPr>
                <w:rFonts w:eastAsia="Times New Roman"/>
                <w:color w:val="FF0000"/>
                <w:lang w:eastAsia="en-GB"/>
              </w:rPr>
            </w:pPr>
          </w:p>
        </w:tc>
        <w:tc>
          <w:tcPr>
            <w:tcW w:w="2547" w:type="dxa"/>
            <w:tcBorders>
              <w:top w:val="nil"/>
              <w:left w:val="nil"/>
              <w:bottom w:val="single" w:sz="4" w:space="0" w:color="auto"/>
              <w:right w:val="triple" w:sz="4" w:space="0" w:color="auto"/>
            </w:tcBorders>
            <w:shd w:val="clear" w:color="000000" w:fill="D8D8D8"/>
            <w:hideMark/>
          </w:tcPr>
          <w:p w:rsidR="006D025B" w:rsidRDefault="006D025B" w:rsidP="00445620">
            <w:pPr>
              <w:spacing w:after="0" w:line="240" w:lineRule="auto"/>
              <w:rPr>
                <w:rFonts w:eastAsia="Times New Roman"/>
                <w:lang w:eastAsia="en-GB"/>
              </w:rPr>
            </w:pPr>
            <w:r w:rsidRPr="00445620">
              <w:rPr>
                <w:rFonts w:eastAsia="Times New Roman"/>
                <w:lang w:eastAsia="en-GB"/>
              </w:rPr>
              <w:t xml:space="preserve">Securing our Success: NI Strategy on Apprenticeships was published June 2014. </w:t>
            </w:r>
          </w:p>
          <w:p w:rsidR="006D025B" w:rsidRDefault="006D025B" w:rsidP="00445620">
            <w:pPr>
              <w:spacing w:after="0" w:line="240" w:lineRule="auto"/>
              <w:rPr>
                <w:rFonts w:eastAsia="Times New Roman"/>
                <w:lang w:eastAsia="en-GB"/>
              </w:rPr>
            </w:pPr>
          </w:p>
          <w:p w:rsidR="005A5FC9" w:rsidRDefault="005A5FC9" w:rsidP="00445620">
            <w:pPr>
              <w:spacing w:after="0" w:line="240" w:lineRule="auto"/>
              <w:rPr>
                <w:rFonts w:eastAsia="Times New Roman"/>
                <w:lang w:eastAsia="en-GB"/>
              </w:rPr>
            </w:pPr>
          </w:p>
          <w:p w:rsidR="005A5FC9" w:rsidRDefault="005A5FC9" w:rsidP="00445620">
            <w:pPr>
              <w:spacing w:after="0" w:line="240" w:lineRule="auto"/>
              <w:rPr>
                <w:rFonts w:eastAsia="Times New Roman"/>
                <w:lang w:eastAsia="en-GB"/>
              </w:rPr>
            </w:pPr>
          </w:p>
          <w:p w:rsidR="005A5FC9" w:rsidRDefault="005A5FC9" w:rsidP="00445620">
            <w:pPr>
              <w:spacing w:after="0" w:line="240" w:lineRule="auto"/>
              <w:rPr>
                <w:rFonts w:eastAsia="Times New Roman"/>
                <w:lang w:eastAsia="en-GB"/>
              </w:rPr>
            </w:pPr>
          </w:p>
          <w:p w:rsidR="005A5FC9" w:rsidRDefault="005A5FC9" w:rsidP="00445620">
            <w:pPr>
              <w:spacing w:after="0" w:line="240" w:lineRule="auto"/>
              <w:rPr>
                <w:rFonts w:eastAsia="Times New Roman"/>
                <w:lang w:eastAsia="en-GB"/>
              </w:rPr>
            </w:pPr>
          </w:p>
          <w:p w:rsidR="005A5FC9" w:rsidRDefault="005A5FC9" w:rsidP="00445620">
            <w:pPr>
              <w:spacing w:after="0" w:line="240" w:lineRule="auto"/>
              <w:rPr>
                <w:rFonts w:eastAsia="Times New Roman"/>
                <w:lang w:eastAsia="en-GB"/>
              </w:rPr>
            </w:pPr>
          </w:p>
          <w:p w:rsidR="00F73835" w:rsidRDefault="00F73835" w:rsidP="00445620">
            <w:pPr>
              <w:spacing w:after="0" w:line="240" w:lineRule="auto"/>
              <w:rPr>
                <w:rFonts w:eastAsia="Times New Roman"/>
                <w:lang w:eastAsia="en-GB"/>
              </w:rPr>
            </w:pPr>
            <w:r>
              <w:rPr>
                <w:rFonts w:eastAsia="Times New Roman"/>
                <w:lang w:eastAsia="en-GB"/>
              </w:rPr>
              <w:t xml:space="preserve">The review of youth training interim report </w:t>
            </w:r>
            <w:r w:rsidR="005A5FC9">
              <w:rPr>
                <w:rFonts w:eastAsia="Times New Roman"/>
                <w:lang w:eastAsia="en-GB"/>
              </w:rPr>
              <w:t xml:space="preserve">was published </w:t>
            </w:r>
            <w:r>
              <w:rPr>
                <w:rFonts w:eastAsia="Times New Roman"/>
                <w:lang w:eastAsia="en-GB"/>
              </w:rPr>
              <w:t>in November 2014.</w:t>
            </w:r>
          </w:p>
          <w:p w:rsidR="00C87E8C" w:rsidRDefault="00C87E8C" w:rsidP="00445620">
            <w:pPr>
              <w:spacing w:after="0" w:line="240" w:lineRule="auto"/>
              <w:rPr>
                <w:rFonts w:eastAsia="Times New Roman"/>
                <w:lang w:eastAsia="en-GB"/>
              </w:rPr>
            </w:pPr>
          </w:p>
          <w:p w:rsidR="00051152" w:rsidRDefault="00051152" w:rsidP="00445620">
            <w:pPr>
              <w:spacing w:after="0" w:line="240" w:lineRule="auto"/>
              <w:rPr>
                <w:rFonts w:eastAsia="Times New Roman"/>
                <w:color w:val="FF0000"/>
                <w:lang w:eastAsia="en-GB"/>
              </w:rPr>
            </w:pPr>
          </w:p>
          <w:p w:rsidR="00C87E8C" w:rsidRPr="00C87E8C" w:rsidRDefault="00C87E8C" w:rsidP="00445620">
            <w:pPr>
              <w:spacing w:after="0" w:line="240" w:lineRule="auto"/>
              <w:rPr>
                <w:rFonts w:eastAsia="Times New Roman"/>
                <w:color w:val="FF0000"/>
                <w:lang w:eastAsia="en-GB"/>
              </w:rPr>
            </w:pPr>
          </w:p>
        </w:tc>
        <w:tc>
          <w:tcPr>
            <w:tcW w:w="2446" w:type="dxa"/>
            <w:tcBorders>
              <w:top w:val="nil"/>
              <w:left w:val="triple" w:sz="4" w:space="0" w:color="auto"/>
              <w:bottom w:val="single" w:sz="4" w:space="0" w:color="auto"/>
              <w:right w:val="single" w:sz="4" w:space="0" w:color="auto"/>
            </w:tcBorders>
            <w:shd w:val="clear" w:color="000000" w:fill="D8D8D8"/>
            <w:noWrap/>
            <w:hideMark/>
          </w:tcPr>
          <w:p w:rsidR="0032468D" w:rsidRPr="00A77027" w:rsidRDefault="0032468D" w:rsidP="005A5FC9">
            <w:pPr>
              <w:spacing w:line="240" w:lineRule="auto"/>
              <w:rPr>
                <w:rFonts w:asciiTheme="minorHAnsi" w:hAnsiTheme="minorHAnsi" w:cs="Arial"/>
              </w:rPr>
            </w:pPr>
            <w:r w:rsidRPr="00A77027">
              <w:rPr>
                <w:rFonts w:asciiTheme="minorHAnsi" w:hAnsiTheme="minorHAnsi" w:cs="Arial"/>
              </w:rPr>
              <w:t xml:space="preserve">Over the next 2 years we will deliver a number of actions to ensure the new system of apprenticeships is in place by September 2016.  </w:t>
            </w:r>
            <w:r w:rsidR="00A77027" w:rsidRPr="00A77027">
              <w:rPr>
                <w:rFonts w:asciiTheme="minorHAnsi" w:hAnsiTheme="minorHAnsi" w:cs="Arial"/>
              </w:rPr>
              <w:t xml:space="preserve"> </w:t>
            </w:r>
            <w:r w:rsidRPr="00A77027">
              <w:rPr>
                <w:rFonts w:asciiTheme="minorHAnsi" w:hAnsiTheme="minorHAnsi" w:cs="Arial"/>
              </w:rPr>
              <w:t>This will include the establishment of sector partnerships to develop and agree new content/curriculum and the piloting of new Higher Level Apprenticeships in priority economic areas including STEM occupations</w:t>
            </w:r>
            <w:r w:rsidR="00A77027" w:rsidRPr="00A77027">
              <w:rPr>
                <w:rFonts w:asciiTheme="minorHAnsi" w:hAnsiTheme="minorHAnsi" w:cs="Arial"/>
              </w:rPr>
              <w:t>.</w:t>
            </w:r>
          </w:p>
          <w:p w:rsidR="0032468D" w:rsidRPr="00A77027" w:rsidRDefault="0032468D" w:rsidP="005A5FC9">
            <w:pPr>
              <w:spacing w:line="240" w:lineRule="auto"/>
              <w:rPr>
                <w:rFonts w:asciiTheme="minorHAnsi" w:hAnsiTheme="minorHAnsi" w:cs="Arial"/>
              </w:rPr>
            </w:pPr>
            <w:r w:rsidRPr="00A77027">
              <w:rPr>
                <w:rFonts w:asciiTheme="minorHAnsi" w:hAnsiTheme="minorHAnsi" w:cs="Arial"/>
              </w:rPr>
              <w:t>Following a period of public consultation, a final strategy document</w:t>
            </w:r>
            <w:r w:rsidR="00D671F1" w:rsidRPr="00A77027">
              <w:rPr>
                <w:rFonts w:asciiTheme="minorHAnsi" w:hAnsiTheme="minorHAnsi" w:cs="Arial"/>
              </w:rPr>
              <w:t xml:space="preserve"> and implementation plan for a new</w:t>
            </w:r>
            <w:r w:rsidRPr="00A77027">
              <w:rPr>
                <w:rFonts w:asciiTheme="minorHAnsi" w:hAnsiTheme="minorHAnsi" w:cs="Arial"/>
              </w:rPr>
              <w:t xml:space="preserve"> youth training </w:t>
            </w:r>
            <w:r w:rsidR="00D671F1" w:rsidRPr="00A77027">
              <w:rPr>
                <w:rFonts w:asciiTheme="minorHAnsi" w:hAnsiTheme="minorHAnsi" w:cs="Arial"/>
              </w:rPr>
              <w:t>system will be published in early 2015.  The system will be fully operational by 2016.</w:t>
            </w:r>
          </w:p>
          <w:p w:rsidR="00C87E8C" w:rsidRPr="00A77027" w:rsidRDefault="00C87E8C" w:rsidP="005A5FC9">
            <w:pPr>
              <w:spacing w:after="0" w:line="240" w:lineRule="auto"/>
              <w:rPr>
                <w:rFonts w:asciiTheme="minorHAnsi" w:eastAsia="Times New Roman" w:hAnsiTheme="minorHAnsi"/>
                <w:lang w:eastAsia="en-GB"/>
              </w:rPr>
            </w:pPr>
          </w:p>
        </w:tc>
        <w:tc>
          <w:tcPr>
            <w:tcW w:w="1243" w:type="dxa"/>
            <w:tcBorders>
              <w:top w:val="nil"/>
              <w:left w:val="nil"/>
              <w:bottom w:val="single" w:sz="4" w:space="0" w:color="auto"/>
              <w:right w:val="single" w:sz="4" w:space="0" w:color="auto"/>
            </w:tcBorders>
            <w:shd w:val="clear" w:color="000000" w:fill="D8D8D8"/>
            <w:noWrap/>
            <w:hideMark/>
          </w:tcPr>
          <w:p w:rsidR="00436703" w:rsidRPr="00A77027" w:rsidRDefault="00436703" w:rsidP="005A5FC9">
            <w:pPr>
              <w:spacing w:line="240" w:lineRule="auto"/>
              <w:rPr>
                <w:rFonts w:asciiTheme="minorHAnsi" w:hAnsiTheme="minorHAnsi" w:cs="Arial"/>
              </w:rPr>
            </w:pPr>
            <w:r w:rsidRPr="00A77027">
              <w:rPr>
                <w:rFonts w:asciiTheme="minorHAnsi" w:hAnsiTheme="minorHAnsi" w:cs="Arial"/>
              </w:rPr>
              <w:t>The new system of apprenticeships will be operational by September 2016.</w:t>
            </w:r>
          </w:p>
          <w:p w:rsidR="00436703" w:rsidRPr="00A77027" w:rsidRDefault="00436703" w:rsidP="005A5FC9">
            <w:pPr>
              <w:spacing w:line="240" w:lineRule="auto"/>
              <w:rPr>
                <w:rFonts w:asciiTheme="minorHAnsi" w:hAnsiTheme="minorHAnsi" w:cs="Arial"/>
              </w:rPr>
            </w:pPr>
          </w:p>
          <w:p w:rsidR="00A77027" w:rsidRDefault="00A77027" w:rsidP="005A5FC9">
            <w:pPr>
              <w:spacing w:line="240" w:lineRule="auto"/>
              <w:rPr>
                <w:rFonts w:asciiTheme="minorHAnsi" w:hAnsiTheme="minorHAnsi" w:cs="Arial"/>
              </w:rPr>
            </w:pPr>
          </w:p>
          <w:p w:rsidR="00A77027" w:rsidRDefault="00A77027" w:rsidP="005A5FC9">
            <w:pPr>
              <w:spacing w:line="240" w:lineRule="auto"/>
              <w:rPr>
                <w:rFonts w:asciiTheme="minorHAnsi" w:hAnsiTheme="minorHAnsi" w:cs="Arial"/>
              </w:rPr>
            </w:pPr>
          </w:p>
          <w:p w:rsidR="00A77027" w:rsidRDefault="00A77027" w:rsidP="005A5FC9">
            <w:pPr>
              <w:spacing w:line="240" w:lineRule="auto"/>
              <w:rPr>
                <w:rFonts w:asciiTheme="minorHAnsi" w:hAnsiTheme="minorHAnsi" w:cs="Arial"/>
              </w:rPr>
            </w:pPr>
          </w:p>
          <w:p w:rsidR="00A77027" w:rsidRDefault="00A77027" w:rsidP="005A5FC9">
            <w:pPr>
              <w:spacing w:line="240" w:lineRule="auto"/>
              <w:rPr>
                <w:rFonts w:asciiTheme="minorHAnsi" w:hAnsiTheme="minorHAnsi" w:cs="Arial"/>
              </w:rPr>
            </w:pPr>
          </w:p>
          <w:p w:rsidR="00A77027" w:rsidRPr="00A77027" w:rsidRDefault="00A77027" w:rsidP="005A5FC9">
            <w:pPr>
              <w:spacing w:line="240" w:lineRule="auto"/>
              <w:rPr>
                <w:rFonts w:asciiTheme="minorHAnsi" w:hAnsiTheme="minorHAnsi" w:cs="Arial"/>
              </w:rPr>
            </w:pPr>
          </w:p>
          <w:p w:rsidR="00436703" w:rsidRPr="00A77027" w:rsidRDefault="00436703" w:rsidP="005A5FC9">
            <w:pPr>
              <w:spacing w:line="240" w:lineRule="auto"/>
              <w:rPr>
                <w:rFonts w:asciiTheme="minorHAnsi" w:hAnsiTheme="minorHAnsi" w:cs="Arial"/>
              </w:rPr>
            </w:pPr>
            <w:r w:rsidRPr="00A77027">
              <w:rPr>
                <w:rFonts w:asciiTheme="minorHAnsi" w:hAnsiTheme="minorHAnsi" w:cs="Arial"/>
              </w:rPr>
              <w:t>Final strategy on youth training due for publication in March/April 2015.</w:t>
            </w:r>
          </w:p>
          <w:p w:rsidR="006D025B" w:rsidRPr="00A77027" w:rsidRDefault="006D025B" w:rsidP="005A5FC9">
            <w:pPr>
              <w:spacing w:after="0" w:line="240" w:lineRule="auto"/>
              <w:rPr>
                <w:rFonts w:asciiTheme="minorHAnsi" w:eastAsia="Times New Roman" w:hAnsiTheme="minorHAnsi"/>
                <w:lang w:eastAsia="en-GB"/>
              </w:rPr>
            </w:pPr>
          </w:p>
        </w:tc>
        <w:tc>
          <w:tcPr>
            <w:tcW w:w="1771" w:type="dxa"/>
            <w:tcBorders>
              <w:top w:val="nil"/>
              <w:left w:val="nil"/>
              <w:bottom w:val="single" w:sz="4" w:space="0" w:color="auto"/>
              <w:right w:val="single" w:sz="4" w:space="0" w:color="auto"/>
            </w:tcBorders>
            <w:shd w:val="clear" w:color="000000" w:fill="D8D8D8"/>
            <w:hideMark/>
          </w:tcPr>
          <w:p w:rsidR="006D025B" w:rsidRDefault="006D025B" w:rsidP="00445620">
            <w:pPr>
              <w:spacing w:after="0" w:line="240" w:lineRule="auto"/>
              <w:rPr>
                <w:rFonts w:eastAsia="Times New Roman"/>
                <w:color w:val="000000"/>
                <w:lang w:eastAsia="en-GB"/>
              </w:rPr>
            </w:pPr>
            <w:r w:rsidRPr="00445620">
              <w:rPr>
                <w:rFonts w:eastAsia="Times New Roman"/>
                <w:color w:val="000000"/>
                <w:lang w:eastAsia="en-GB"/>
              </w:rPr>
              <w:t>Youth Policy and Strategy</w:t>
            </w:r>
          </w:p>
          <w:p w:rsidR="00C87E8C" w:rsidRDefault="00C87E8C" w:rsidP="00445620">
            <w:pPr>
              <w:spacing w:after="0" w:line="240" w:lineRule="auto"/>
              <w:rPr>
                <w:rFonts w:eastAsia="Times New Roman"/>
                <w:color w:val="000000"/>
                <w:lang w:eastAsia="en-GB"/>
              </w:rPr>
            </w:pPr>
          </w:p>
          <w:p w:rsidR="00C87E8C" w:rsidRDefault="00C87E8C" w:rsidP="00445620">
            <w:pPr>
              <w:spacing w:after="0" w:line="240" w:lineRule="auto"/>
              <w:rPr>
                <w:rFonts w:eastAsia="Times New Roman"/>
                <w:color w:val="000000"/>
                <w:lang w:eastAsia="en-GB"/>
              </w:rPr>
            </w:pPr>
          </w:p>
          <w:p w:rsidR="00C87E8C" w:rsidRDefault="00C87E8C"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445620">
            <w:pPr>
              <w:spacing w:after="0" w:line="240" w:lineRule="auto"/>
              <w:rPr>
                <w:rFonts w:eastAsia="Times New Roman"/>
                <w:color w:val="000000"/>
                <w:lang w:eastAsia="en-GB"/>
              </w:rPr>
            </w:pPr>
          </w:p>
          <w:p w:rsidR="00A77027" w:rsidRDefault="00A77027" w:rsidP="00A77027">
            <w:pPr>
              <w:spacing w:after="0" w:line="240" w:lineRule="auto"/>
              <w:rPr>
                <w:rFonts w:eastAsia="Times New Roman"/>
                <w:color w:val="000000"/>
                <w:lang w:eastAsia="en-GB"/>
              </w:rPr>
            </w:pPr>
            <w:r w:rsidRPr="00445620">
              <w:rPr>
                <w:rFonts w:eastAsia="Times New Roman"/>
                <w:color w:val="000000"/>
                <w:lang w:eastAsia="en-GB"/>
              </w:rPr>
              <w:t>Youth Policy and Strategy</w:t>
            </w:r>
          </w:p>
          <w:p w:rsidR="00A77027" w:rsidRDefault="00A77027" w:rsidP="00445620">
            <w:pPr>
              <w:spacing w:after="0" w:line="240" w:lineRule="auto"/>
              <w:rPr>
                <w:rFonts w:eastAsia="Times New Roman"/>
                <w:color w:val="000000"/>
                <w:lang w:eastAsia="en-GB"/>
              </w:rPr>
            </w:pPr>
          </w:p>
          <w:p w:rsidR="00C87E8C" w:rsidRDefault="00C87E8C" w:rsidP="00445620">
            <w:pPr>
              <w:spacing w:after="0" w:line="240" w:lineRule="auto"/>
              <w:rPr>
                <w:rFonts w:eastAsia="Times New Roman"/>
                <w:color w:val="000000"/>
                <w:lang w:eastAsia="en-GB"/>
              </w:rPr>
            </w:pPr>
          </w:p>
          <w:p w:rsidR="00C87E8C" w:rsidRDefault="00C87E8C" w:rsidP="00445620">
            <w:pPr>
              <w:spacing w:after="0" w:line="240" w:lineRule="auto"/>
              <w:rPr>
                <w:rFonts w:eastAsia="Times New Roman"/>
                <w:color w:val="000000"/>
                <w:lang w:eastAsia="en-GB"/>
              </w:rPr>
            </w:pPr>
          </w:p>
          <w:p w:rsidR="00C87E8C" w:rsidRDefault="00C87E8C" w:rsidP="00445620">
            <w:pPr>
              <w:spacing w:after="0" w:line="240" w:lineRule="auto"/>
              <w:rPr>
                <w:rFonts w:eastAsia="Times New Roman"/>
                <w:color w:val="000000"/>
                <w:lang w:eastAsia="en-GB"/>
              </w:rPr>
            </w:pPr>
          </w:p>
          <w:p w:rsidR="00C87E8C" w:rsidRDefault="00C87E8C" w:rsidP="00445620">
            <w:pPr>
              <w:spacing w:after="0" w:line="240" w:lineRule="auto"/>
              <w:rPr>
                <w:rFonts w:eastAsia="Times New Roman"/>
                <w:color w:val="000000"/>
                <w:lang w:eastAsia="en-GB"/>
              </w:rPr>
            </w:pPr>
          </w:p>
          <w:p w:rsidR="00C87E8C" w:rsidRDefault="00C87E8C" w:rsidP="00445620">
            <w:pPr>
              <w:spacing w:after="0" w:line="240" w:lineRule="auto"/>
              <w:rPr>
                <w:rFonts w:eastAsia="Times New Roman"/>
                <w:color w:val="000000"/>
                <w:lang w:eastAsia="en-GB"/>
              </w:rPr>
            </w:pPr>
          </w:p>
          <w:p w:rsidR="00C87E8C" w:rsidRPr="00445620" w:rsidRDefault="00C87E8C" w:rsidP="00A77027">
            <w:pPr>
              <w:spacing w:after="0" w:line="240" w:lineRule="auto"/>
              <w:rPr>
                <w:rFonts w:eastAsia="Times New Roman"/>
                <w:color w:val="000000"/>
                <w:lang w:eastAsia="en-GB"/>
              </w:rPr>
            </w:pPr>
          </w:p>
        </w:tc>
      </w:tr>
    </w:tbl>
    <w:p w:rsidR="00BA3AB2" w:rsidRPr="002D309A" w:rsidRDefault="00BA3AB2" w:rsidP="002D309A">
      <w:pPr>
        <w:spacing w:after="0" w:line="360" w:lineRule="auto"/>
        <w:rPr>
          <w:b/>
          <w:bCs/>
          <w:color w:val="000000"/>
          <w:sz w:val="24"/>
          <w:szCs w:val="24"/>
          <w:lang w:eastAsia="en-GB"/>
        </w:rPr>
      </w:pPr>
    </w:p>
    <w:p w:rsidR="00BA3AB2" w:rsidRDefault="00445620" w:rsidP="00CA0995">
      <w:pPr>
        <w:pStyle w:val="ListParagraph"/>
        <w:spacing w:after="0" w:line="360" w:lineRule="auto"/>
        <w:ind w:left="357"/>
      </w:pPr>
      <w:bookmarkStart w:id="2" w:name="OLE_LINK1"/>
      <w:bookmarkStart w:id="3" w:name="OLE_LINK2"/>
      <w:r>
        <w:rPr>
          <w:b/>
          <w:bCs/>
          <w:color w:val="000000"/>
          <w:lang w:eastAsia="en-GB"/>
        </w:rPr>
        <w:br w:type="page"/>
      </w:r>
      <w:proofErr w:type="gramStart"/>
      <w:r w:rsidR="00BA3AB2">
        <w:rPr>
          <w:b/>
          <w:bCs/>
          <w:color w:val="000000"/>
          <w:lang w:eastAsia="en-GB"/>
        </w:rPr>
        <w:lastRenderedPageBreak/>
        <w:t xml:space="preserve">A.3. </w:t>
      </w:r>
      <w:r w:rsidR="00BA3AB2">
        <w:rPr>
          <w:b/>
          <w:bCs/>
          <w:color w:val="000000"/>
          <w:sz w:val="24"/>
          <w:szCs w:val="24"/>
          <w:lang w:eastAsia="en-GB"/>
        </w:rPr>
        <w:t>Tackling variability in retention, achievement and course completion rates.</w:t>
      </w:r>
      <w:proofErr w:type="gramEnd"/>
    </w:p>
    <w:p w:rsidR="00BA3AB2" w:rsidRDefault="00BA3AB2" w:rsidP="009A1D75">
      <w:pPr>
        <w:pStyle w:val="ListParagraph"/>
        <w:spacing w:after="0" w:line="360" w:lineRule="auto"/>
        <w:ind w:left="357"/>
        <w:rPr>
          <w:b/>
          <w:bCs/>
          <w:color w:val="000000"/>
          <w:lang w:eastAsia="en-GB"/>
        </w:rPr>
      </w:pPr>
    </w:p>
    <w:tbl>
      <w:tblPr>
        <w:tblW w:w="14060" w:type="dxa"/>
        <w:tblInd w:w="93" w:type="dxa"/>
        <w:tblLook w:val="04A0"/>
      </w:tblPr>
      <w:tblGrid>
        <w:gridCol w:w="2740"/>
        <w:gridCol w:w="4532"/>
        <w:gridCol w:w="1985"/>
        <w:gridCol w:w="1971"/>
        <w:gridCol w:w="1407"/>
        <w:gridCol w:w="1425"/>
      </w:tblGrid>
      <w:tr w:rsidR="006D025B" w:rsidRPr="00445620" w:rsidTr="00AE5996">
        <w:trPr>
          <w:trHeight w:val="569"/>
          <w:tblHeader/>
        </w:trPr>
        <w:tc>
          <w:tcPr>
            <w:tcW w:w="27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Key Issue</w:t>
            </w:r>
          </w:p>
        </w:tc>
        <w:tc>
          <w:tcPr>
            <w:tcW w:w="4646" w:type="dxa"/>
            <w:tcBorders>
              <w:top w:val="single" w:sz="4" w:space="0" w:color="auto"/>
              <w:left w:val="nil"/>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 xml:space="preserve">Planned Action from 2013 </w:t>
            </w:r>
            <w:r>
              <w:rPr>
                <w:rFonts w:eastAsia="Times New Roman"/>
                <w:b/>
                <w:bCs/>
                <w:color w:val="000000"/>
                <w:lang w:eastAsia="en-GB"/>
              </w:rPr>
              <w:t xml:space="preserve">Action Plan </w:t>
            </w:r>
            <w:r w:rsidRPr="00445620">
              <w:rPr>
                <w:rFonts w:eastAsia="Times New Roman"/>
                <w:b/>
                <w:bCs/>
                <w:color w:val="000000"/>
                <w:lang w:eastAsia="en-GB"/>
              </w:rPr>
              <w:t>Report</w:t>
            </w:r>
          </w:p>
        </w:tc>
        <w:tc>
          <w:tcPr>
            <w:tcW w:w="1985" w:type="dxa"/>
            <w:tcBorders>
              <w:top w:val="single" w:sz="4" w:space="0" w:color="auto"/>
              <w:left w:val="nil"/>
              <w:bottom w:val="single" w:sz="4" w:space="0" w:color="auto"/>
              <w:right w:val="trip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Progress</w:t>
            </w:r>
            <w:r>
              <w:rPr>
                <w:rFonts w:eastAsia="Times New Roman"/>
                <w:b/>
                <w:bCs/>
                <w:color w:val="000000"/>
                <w:lang w:eastAsia="en-GB"/>
              </w:rPr>
              <w:t xml:space="preserve"> Against</w:t>
            </w:r>
            <w:r w:rsidRPr="00445620">
              <w:rPr>
                <w:rFonts w:eastAsia="Times New Roman"/>
                <w:b/>
                <w:bCs/>
                <w:color w:val="000000"/>
                <w:lang w:eastAsia="en-GB"/>
              </w:rPr>
              <w:t xml:space="preserve"> 2013 planned action</w:t>
            </w:r>
          </w:p>
        </w:tc>
        <w:tc>
          <w:tcPr>
            <w:tcW w:w="1984" w:type="dxa"/>
            <w:tcBorders>
              <w:top w:val="single" w:sz="4" w:space="0" w:color="auto"/>
              <w:left w:val="triple" w:sz="4" w:space="0" w:color="auto"/>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Further Actions Planned from 2014</w:t>
            </w:r>
          </w:p>
        </w:tc>
        <w:tc>
          <w:tcPr>
            <w:tcW w:w="1276" w:type="dxa"/>
            <w:tcBorders>
              <w:top w:val="single" w:sz="4" w:space="0" w:color="auto"/>
              <w:left w:val="nil"/>
              <w:bottom w:val="single" w:sz="4" w:space="0" w:color="auto"/>
              <w:right w:val="single" w:sz="4" w:space="0" w:color="auto"/>
            </w:tcBorders>
            <w:shd w:val="clear" w:color="000000" w:fill="A5A5A5"/>
            <w:noWrap/>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Timescale</w:t>
            </w:r>
          </w:p>
        </w:tc>
        <w:tc>
          <w:tcPr>
            <w:tcW w:w="1429" w:type="dxa"/>
            <w:tcBorders>
              <w:top w:val="single" w:sz="4" w:space="0" w:color="auto"/>
              <w:left w:val="nil"/>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Responsible Divisions</w:t>
            </w:r>
          </w:p>
        </w:tc>
      </w:tr>
      <w:tr w:rsidR="00445620" w:rsidRPr="00445620" w:rsidTr="007B5774">
        <w:trPr>
          <w:trHeight w:val="1955"/>
        </w:trPr>
        <w:tc>
          <w:tcPr>
            <w:tcW w:w="2740" w:type="dxa"/>
            <w:tcBorders>
              <w:top w:val="nil"/>
              <w:left w:val="single" w:sz="4" w:space="0" w:color="auto"/>
              <w:bottom w:val="single" w:sz="4" w:space="0" w:color="auto"/>
              <w:right w:val="single" w:sz="4" w:space="0" w:color="auto"/>
            </w:tcBorders>
            <w:shd w:val="clear" w:color="000000" w:fill="D8D8D8"/>
            <w:hideMark/>
          </w:tcPr>
          <w:p w:rsidR="00445620" w:rsidRPr="00445620" w:rsidRDefault="00445620" w:rsidP="005375E8">
            <w:pPr>
              <w:spacing w:after="0" w:line="240" w:lineRule="auto"/>
              <w:rPr>
                <w:rFonts w:eastAsia="Times New Roman"/>
                <w:color w:val="000000"/>
                <w:lang w:eastAsia="en-GB"/>
              </w:rPr>
            </w:pPr>
            <w:r w:rsidRPr="00445620">
              <w:rPr>
                <w:rFonts w:eastAsia="Times New Roman"/>
                <w:color w:val="000000"/>
                <w:lang w:eastAsia="en-GB"/>
              </w:rPr>
              <w:t>Retention, achievement and course completion rates across the Department’s skills and training provision are a key indicator of wider quality and performance.</w:t>
            </w:r>
            <w:r w:rsidR="005375E8">
              <w:rPr>
                <w:rFonts w:eastAsia="Times New Roman"/>
                <w:color w:val="000000"/>
                <w:lang w:eastAsia="en-GB"/>
              </w:rPr>
              <w:t xml:space="preserve"> There has been significant and sustained improvement in this area yet some variability remains in performance across providers.</w:t>
            </w:r>
          </w:p>
        </w:tc>
        <w:tc>
          <w:tcPr>
            <w:tcW w:w="4646" w:type="dxa"/>
            <w:tcBorders>
              <w:top w:val="nil"/>
              <w:left w:val="nil"/>
              <w:bottom w:val="single" w:sz="4" w:space="0" w:color="auto"/>
              <w:right w:val="single" w:sz="4" w:space="0" w:color="auto"/>
            </w:tcBorders>
            <w:shd w:val="clear" w:color="000000" w:fill="D8D8D8"/>
            <w:hideMark/>
          </w:tcPr>
          <w:p w:rsidR="00445620" w:rsidRDefault="00445620" w:rsidP="00445620">
            <w:pPr>
              <w:spacing w:after="0" w:line="240" w:lineRule="auto"/>
              <w:rPr>
                <w:rFonts w:eastAsia="Times New Roman"/>
                <w:color w:val="000000"/>
                <w:lang w:eastAsia="en-GB"/>
              </w:rPr>
            </w:pPr>
            <w:r w:rsidRPr="00445620">
              <w:rPr>
                <w:rFonts w:eastAsia="Times New Roman"/>
                <w:color w:val="000000"/>
                <w:lang w:eastAsia="en-GB"/>
              </w:rPr>
              <w:t xml:space="preserve">The Department will continue to challenge colleges to improve their retention and achievement performance, through, for example:   </w:t>
            </w:r>
            <w:r w:rsidRPr="00445620">
              <w:rPr>
                <w:rFonts w:eastAsia="Times New Roman"/>
                <w:color w:val="000000"/>
                <w:lang w:eastAsia="en-GB"/>
              </w:rPr>
              <w:br/>
              <w:t>• annual CDP process</w:t>
            </w:r>
            <w:proofErr w:type="gramStart"/>
            <w:r w:rsidRPr="00445620">
              <w:rPr>
                <w:rFonts w:eastAsia="Times New Roman"/>
                <w:color w:val="000000"/>
                <w:lang w:eastAsia="en-GB"/>
              </w:rPr>
              <w:t>;</w:t>
            </w:r>
            <w:proofErr w:type="gramEnd"/>
            <w:r w:rsidRPr="00445620">
              <w:rPr>
                <w:rFonts w:eastAsia="Times New Roman"/>
                <w:color w:val="000000"/>
                <w:lang w:eastAsia="en-GB"/>
              </w:rPr>
              <w:br/>
              <w:t>• annual quality performance adjustment (financial);</w:t>
            </w:r>
            <w:r w:rsidRPr="00445620">
              <w:rPr>
                <w:rFonts w:eastAsia="Times New Roman"/>
                <w:color w:val="000000"/>
                <w:lang w:eastAsia="en-GB"/>
              </w:rPr>
              <w:br/>
              <w:t>• annual publication of colleges’ retention and achievement performance;</w:t>
            </w:r>
            <w:r w:rsidRPr="00445620">
              <w:rPr>
                <w:rFonts w:eastAsia="Times New Roman"/>
                <w:color w:val="000000"/>
                <w:lang w:eastAsia="en-GB"/>
              </w:rPr>
              <w:br/>
              <w:t>• benchmarking between 6 FE colleges in Northern Ireland; and</w:t>
            </w:r>
            <w:r w:rsidRPr="00445620">
              <w:rPr>
                <w:rFonts w:eastAsia="Times New Roman"/>
                <w:color w:val="000000"/>
                <w:lang w:eastAsia="en-GB"/>
              </w:rPr>
              <w:br/>
              <w:t>• consider how to benchmark with FE colleges in the rest of the UK.</w:t>
            </w:r>
          </w:p>
          <w:p w:rsidR="0019384D" w:rsidRDefault="0019384D" w:rsidP="00445620">
            <w:pPr>
              <w:spacing w:after="0" w:line="240" w:lineRule="auto"/>
              <w:rPr>
                <w:rFonts w:eastAsia="Times New Roman"/>
                <w:color w:val="000000"/>
                <w:lang w:eastAsia="en-GB"/>
              </w:rPr>
            </w:pPr>
          </w:p>
          <w:p w:rsidR="0019384D" w:rsidRDefault="0019384D" w:rsidP="00445620">
            <w:pPr>
              <w:spacing w:after="0" w:line="240" w:lineRule="auto"/>
              <w:rPr>
                <w:rFonts w:eastAsia="Times New Roman"/>
                <w:color w:val="000000"/>
                <w:lang w:eastAsia="en-GB"/>
              </w:rPr>
            </w:pPr>
          </w:p>
          <w:p w:rsidR="0019384D" w:rsidRPr="00445620" w:rsidRDefault="0019384D" w:rsidP="00445620">
            <w:pPr>
              <w:spacing w:after="0" w:line="240" w:lineRule="auto"/>
              <w:rPr>
                <w:rFonts w:eastAsia="Times New Roman"/>
                <w:color w:val="000000"/>
                <w:lang w:eastAsia="en-GB"/>
              </w:rPr>
            </w:pPr>
            <w:r w:rsidRPr="00E664AF">
              <w:rPr>
                <w:rFonts w:eastAsia="Times New Roman"/>
                <w:bCs/>
                <w:i/>
                <w:iCs/>
                <w:color w:val="000000"/>
                <w:lang w:eastAsia="en-GB"/>
              </w:rPr>
              <w:t>Access to Success</w:t>
            </w:r>
            <w:r w:rsidRPr="00445620">
              <w:rPr>
                <w:rFonts w:eastAsia="Times New Roman"/>
                <w:color w:val="000000"/>
                <w:lang w:eastAsia="en-GB"/>
              </w:rPr>
              <w:t xml:space="preserve"> – the integrated regional strategy for widening participation in Higher Education – will require</w:t>
            </w:r>
            <w:r w:rsidRPr="00445620">
              <w:rPr>
                <w:rFonts w:eastAsia="Times New Roman"/>
                <w:b/>
                <w:bCs/>
                <w:color w:val="000000"/>
                <w:lang w:eastAsia="en-GB"/>
              </w:rPr>
              <w:t xml:space="preserve"> </w:t>
            </w:r>
            <w:r w:rsidRPr="00445620">
              <w:rPr>
                <w:rFonts w:eastAsia="Times New Roman"/>
                <w:color w:val="000000"/>
                <w:lang w:eastAsia="en-GB"/>
              </w:rPr>
              <w:t>each of Northern Ireland’s higher education providers, (including HE in FE), to produce a detailed annual Widening Access and Participation Plan (WAPP). The strategy seeks to put in place a student centred approach with tailored support mechanisms to ensure the successful retention and progression of students from widening participation backgrounds.</w:t>
            </w:r>
          </w:p>
        </w:tc>
        <w:tc>
          <w:tcPr>
            <w:tcW w:w="1985" w:type="dxa"/>
            <w:tcBorders>
              <w:top w:val="single" w:sz="4" w:space="0" w:color="auto"/>
              <w:left w:val="nil"/>
              <w:bottom w:val="single" w:sz="4" w:space="0" w:color="auto"/>
              <w:right w:val="triple" w:sz="4" w:space="0" w:color="auto"/>
            </w:tcBorders>
            <w:shd w:val="clear" w:color="000000" w:fill="D8D8D8"/>
            <w:noWrap/>
            <w:hideMark/>
          </w:tcPr>
          <w:p w:rsidR="00445620" w:rsidRPr="00A77027" w:rsidRDefault="00E05EFA" w:rsidP="00445620">
            <w:pPr>
              <w:spacing w:after="0" w:line="240" w:lineRule="auto"/>
              <w:rPr>
                <w:rFonts w:eastAsia="Times New Roman"/>
                <w:lang w:eastAsia="en-GB"/>
              </w:rPr>
            </w:pPr>
            <w:r w:rsidRPr="00A77027">
              <w:rPr>
                <w:rFonts w:eastAsia="Times New Roman"/>
                <w:lang w:eastAsia="en-GB"/>
              </w:rPr>
              <w:t>In the 2012/13 academic year, learner achievement rates in FE colleges were 87%, compared to 80% in 2010/11. Over this period, retention rates remained stable at around 89%.</w:t>
            </w:r>
            <w:r w:rsidR="00C26C24" w:rsidRPr="00A77027">
              <w:rPr>
                <w:rFonts w:eastAsia="Times New Roman"/>
                <w:lang w:eastAsia="en-GB"/>
              </w:rPr>
              <w:t xml:space="preserve">  </w:t>
            </w:r>
            <w:r w:rsidR="00E0024B" w:rsidRPr="00A77027">
              <w:rPr>
                <w:rFonts w:eastAsia="Times New Roman"/>
                <w:lang w:eastAsia="en-GB"/>
              </w:rPr>
              <w:t xml:space="preserve"> </w:t>
            </w:r>
          </w:p>
          <w:p w:rsidR="0019384D" w:rsidRDefault="0019384D" w:rsidP="00445620">
            <w:pPr>
              <w:spacing w:after="0" w:line="240" w:lineRule="auto"/>
              <w:rPr>
                <w:rFonts w:eastAsia="Times New Roman"/>
                <w:color w:val="000000"/>
                <w:lang w:eastAsia="en-GB"/>
              </w:rPr>
            </w:pPr>
          </w:p>
          <w:p w:rsidR="0019384D" w:rsidRDefault="0019384D" w:rsidP="00445620">
            <w:pPr>
              <w:spacing w:after="0" w:line="240" w:lineRule="auto"/>
              <w:rPr>
                <w:rFonts w:eastAsia="Times New Roman"/>
                <w:color w:val="000000"/>
                <w:lang w:eastAsia="en-GB"/>
              </w:rPr>
            </w:pPr>
          </w:p>
          <w:p w:rsidR="0019384D" w:rsidRDefault="0019384D" w:rsidP="00445620">
            <w:pPr>
              <w:spacing w:after="0" w:line="240" w:lineRule="auto"/>
              <w:rPr>
                <w:rFonts w:eastAsia="Times New Roman"/>
                <w:color w:val="000000"/>
                <w:lang w:eastAsia="en-GB"/>
              </w:rPr>
            </w:pPr>
          </w:p>
          <w:p w:rsidR="0019384D" w:rsidRDefault="0019384D" w:rsidP="00445620">
            <w:pPr>
              <w:spacing w:after="0" w:line="240" w:lineRule="auto"/>
              <w:rPr>
                <w:rFonts w:eastAsia="Times New Roman"/>
                <w:color w:val="000000"/>
                <w:lang w:eastAsia="en-GB"/>
              </w:rPr>
            </w:pPr>
          </w:p>
          <w:p w:rsidR="0019384D" w:rsidRPr="00445620" w:rsidRDefault="0019384D" w:rsidP="00445620">
            <w:pPr>
              <w:spacing w:after="0" w:line="240" w:lineRule="auto"/>
              <w:rPr>
                <w:rFonts w:eastAsia="Times New Roman"/>
                <w:color w:val="000000"/>
                <w:lang w:eastAsia="en-GB"/>
              </w:rPr>
            </w:pPr>
            <w:r w:rsidRPr="00445620">
              <w:rPr>
                <w:rFonts w:eastAsia="Times New Roman"/>
                <w:lang w:eastAsia="en-GB"/>
              </w:rPr>
              <w:t>New WAPP process introduced for all HE providers in April 2014. Plans have been agreed with almost all providers.</w:t>
            </w:r>
          </w:p>
        </w:tc>
        <w:tc>
          <w:tcPr>
            <w:tcW w:w="1984" w:type="dxa"/>
            <w:tcBorders>
              <w:top w:val="nil"/>
              <w:left w:val="triple" w:sz="4" w:space="0" w:color="auto"/>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lang w:eastAsia="en-GB"/>
              </w:rPr>
            </w:pPr>
            <w:r w:rsidRPr="00445620">
              <w:rPr>
                <w:rFonts w:eastAsia="Times New Roman"/>
                <w:lang w:eastAsia="en-GB"/>
              </w:rPr>
              <w:t xml:space="preserve">The Quality Performance Adjustment process outlined under A.1. </w:t>
            </w:r>
            <w:proofErr w:type="gramStart"/>
            <w:r w:rsidRPr="00445620">
              <w:rPr>
                <w:rFonts w:eastAsia="Times New Roman"/>
                <w:lang w:eastAsia="en-GB"/>
              </w:rPr>
              <w:t>is</w:t>
            </w:r>
            <w:proofErr w:type="gramEnd"/>
            <w:r w:rsidRPr="00445620">
              <w:rPr>
                <w:rFonts w:eastAsia="Times New Roman"/>
                <w:lang w:eastAsia="en-GB"/>
              </w:rPr>
              <w:t xml:space="preserve"> designed specifically to encourage and reward colleges to increase further their already high levels of retention and achievement. As indicated above, the Department is currently developing a revised strategy for further education in Northern Ireland, and quality and performance will be one of the main themes in the strategy.</w:t>
            </w:r>
          </w:p>
        </w:tc>
        <w:tc>
          <w:tcPr>
            <w:tcW w:w="1276" w:type="dxa"/>
            <w:tcBorders>
              <w:top w:val="nil"/>
              <w:left w:val="nil"/>
              <w:bottom w:val="single" w:sz="4" w:space="0" w:color="auto"/>
              <w:right w:val="single" w:sz="4" w:space="0" w:color="auto"/>
            </w:tcBorders>
            <w:shd w:val="clear" w:color="000000" w:fill="D8D8D8"/>
            <w:noWrap/>
            <w:hideMark/>
          </w:tcPr>
          <w:p w:rsidR="00445620" w:rsidRPr="00445620" w:rsidRDefault="00E05EFA" w:rsidP="00C26C24">
            <w:pPr>
              <w:spacing w:after="0" w:line="240" w:lineRule="auto"/>
              <w:rPr>
                <w:rFonts w:eastAsia="Times New Roman"/>
                <w:color w:val="000000"/>
                <w:lang w:eastAsia="en-GB"/>
              </w:rPr>
            </w:pPr>
            <w:r w:rsidRPr="00A77027">
              <w:rPr>
                <w:rFonts w:eastAsia="Times New Roman"/>
                <w:color w:val="000000"/>
                <w:lang w:eastAsia="en-GB"/>
              </w:rPr>
              <w:t>Learner retention and achievement rates are monitored on an annual basis, and feature strongly in the annual college development planning meetings that are held with colleges.</w:t>
            </w:r>
            <w:r w:rsidR="00C26C24">
              <w:rPr>
                <w:rFonts w:eastAsia="Times New Roman"/>
                <w:color w:val="000000"/>
                <w:lang w:eastAsia="en-GB"/>
              </w:rPr>
              <w:t xml:space="preserve">     </w:t>
            </w:r>
          </w:p>
        </w:tc>
        <w:tc>
          <w:tcPr>
            <w:tcW w:w="1429" w:type="dxa"/>
            <w:tcBorders>
              <w:top w:val="nil"/>
              <w:left w:val="nil"/>
              <w:bottom w:val="single" w:sz="4" w:space="0" w:color="auto"/>
              <w:right w:val="single" w:sz="4" w:space="0" w:color="auto"/>
            </w:tcBorders>
            <w:shd w:val="clear" w:color="000000" w:fill="D8D8D8"/>
            <w:hideMark/>
          </w:tcPr>
          <w:p w:rsidR="00445620" w:rsidRPr="00445620" w:rsidRDefault="00A77027" w:rsidP="0019384D">
            <w:pPr>
              <w:spacing w:after="0" w:line="240" w:lineRule="auto"/>
              <w:rPr>
                <w:rFonts w:eastAsia="Times New Roman"/>
                <w:color w:val="000000"/>
                <w:lang w:eastAsia="en-GB"/>
              </w:rPr>
            </w:pPr>
            <w:r>
              <w:rPr>
                <w:rFonts w:eastAsia="Times New Roman"/>
                <w:color w:val="000000"/>
                <w:lang w:eastAsia="en-GB"/>
              </w:rPr>
              <w:t>FE Division</w:t>
            </w:r>
          </w:p>
        </w:tc>
      </w:tr>
      <w:tr w:rsidR="001D7A82" w:rsidRPr="00445620" w:rsidTr="007B5774">
        <w:trPr>
          <w:trHeight w:val="1955"/>
        </w:trPr>
        <w:tc>
          <w:tcPr>
            <w:tcW w:w="2740" w:type="dxa"/>
            <w:tcBorders>
              <w:top w:val="single" w:sz="4" w:space="0" w:color="auto"/>
              <w:left w:val="single" w:sz="4" w:space="0" w:color="auto"/>
              <w:bottom w:val="single" w:sz="4" w:space="0" w:color="000000"/>
              <w:right w:val="single" w:sz="4" w:space="0" w:color="auto"/>
            </w:tcBorders>
            <w:shd w:val="clear" w:color="000000" w:fill="D8D8D8"/>
          </w:tcPr>
          <w:p w:rsidR="001D7A82" w:rsidRPr="00445620" w:rsidRDefault="001D7A82" w:rsidP="005375E8">
            <w:pPr>
              <w:spacing w:after="0" w:line="240" w:lineRule="auto"/>
              <w:rPr>
                <w:rFonts w:eastAsia="Times New Roman"/>
                <w:color w:val="000000"/>
                <w:lang w:eastAsia="en-GB"/>
              </w:rPr>
            </w:pPr>
          </w:p>
        </w:tc>
        <w:tc>
          <w:tcPr>
            <w:tcW w:w="4646" w:type="dxa"/>
            <w:tcBorders>
              <w:top w:val="single" w:sz="4" w:space="0" w:color="auto"/>
              <w:left w:val="nil"/>
              <w:bottom w:val="single" w:sz="4" w:space="0" w:color="auto"/>
              <w:right w:val="single" w:sz="4" w:space="0" w:color="auto"/>
            </w:tcBorders>
            <w:shd w:val="clear" w:color="000000" w:fill="D8D8D8"/>
          </w:tcPr>
          <w:p w:rsidR="001D7A82" w:rsidRPr="00445620" w:rsidRDefault="001D7A82" w:rsidP="00516C39">
            <w:pPr>
              <w:spacing w:after="0" w:line="240" w:lineRule="auto"/>
              <w:rPr>
                <w:rFonts w:eastAsia="Times New Roman"/>
                <w:color w:val="000000"/>
                <w:lang w:eastAsia="en-GB"/>
              </w:rPr>
            </w:pPr>
          </w:p>
        </w:tc>
        <w:tc>
          <w:tcPr>
            <w:tcW w:w="1985" w:type="dxa"/>
            <w:tcBorders>
              <w:top w:val="single" w:sz="4" w:space="0" w:color="auto"/>
              <w:left w:val="nil"/>
              <w:bottom w:val="single" w:sz="4" w:space="0" w:color="auto"/>
              <w:right w:val="triple" w:sz="4" w:space="0" w:color="auto"/>
            </w:tcBorders>
            <w:shd w:val="clear" w:color="000000" w:fill="D8D8D8"/>
            <w:noWrap/>
          </w:tcPr>
          <w:p w:rsidR="001D7A82" w:rsidRDefault="001D7A82" w:rsidP="00DD7773">
            <w:pPr>
              <w:spacing w:after="0" w:line="240" w:lineRule="auto"/>
              <w:rPr>
                <w:rFonts w:eastAsia="Times New Roman"/>
                <w:color w:val="000000"/>
                <w:lang w:eastAsia="en-GB"/>
              </w:rPr>
            </w:pPr>
          </w:p>
        </w:tc>
        <w:tc>
          <w:tcPr>
            <w:tcW w:w="1984" w:type="dxa"/>
            <w:tcBorders>
              <w:top w:val="single" w:sz="4" w:space="0" w:color="auto"/>
              <w:left w:val="triple" w:sz="4" w:space="0" w:color="auto"/>
              <w:bottom w:val="single" w:sz="4" w:space="0" w:color="auto"/>
              <w:right w:val="single" w:sz="4" w:space="0" w:color="auto"/>
            </w:tcBorders>
            <w:shd w:val="clear" w:color="000000" w:fill="D8D8D8"/>
          </w:tcPr>
          <w:p w:rsidR="001D7A82" w:rsidRPr="00A77027" w:rsidRDefault="00AE5BB4" w:rsidP="00445620">
            <w:pPr>
              <w:spacing w:after="0" w:line="240" w:lineRule="auto"/>
              <w:rPr>
                <w:rFonts w:eastAsia="Times New Roman"/>
                <w:lang w:eastAsia="en-GB"/>
              </w:rPr>
            </w:pPr>
            <w:r w:rsidRPr="00A77027">
              <w:rPr>
                <w:rFonts w:eastAsia="Times New Roman"/>
                <w:lang w:eastAsia="en-GB"/>
              </w:rPr>
              <w:t>Training Programmes</w:t>
            </w:r>
            <w:r w:rsidR="00A77027" w:rsidRPr="00A77027">
              <w:rPr>
                <w:rFonts w:eastAsia="Times New Roman"/>
                <w:lang w:eastAsia="en-GB"/>
              </w:rPr>
              <w:t xml:space="preserve"> - </w:t>
            </w:r>
          </w:p>
          <w:p w:rsidR="001D7A82" w:rsidRDefault="001D7A82" w:rsidP="001D7A82">
            <w:pPr>
              <w:spacing w:after="0" w:line="240" w:lineRule="auto"/>
              <w:rPr>
                <w:rFonts w:eastAsia="Times New Roman"/>
                <w:lang w:eastAsia="en-GB"/>
              </w:rPr>
            </w:pPr>
            <w:r>
              <w:rPr>
                <w:rFonts w:eastAsia="Times New Roman"/>
                <w:lang w:eastAsia="en-GB"/>
              </w:rPr>
              <w:t xml:space="preserve">To use the individual supplier performance data more effectively to monitor key performance indicators and ensure suppliers are meeting and exceeding targets. </w:t>
            </w:r>
            <w:r w:rsidR="00516C39">
              <w:rPr>
                <w:rFonts w:eastAsia="Times New Roman"/>
                <w:lang w:eastAsia="en-GB"/>
              </w:rPr>
              <w:br/>
            </w:r>
          </w:p>
          <w:p w:rsidR="00516C39" w:rsidRPr="00445620" w:rsidRDefault="00516C39" w:rsidP="00516C39">
            <w:pPr>
              <w:spacing w:after="0" w:line="240" w:lineRule="auto"/>
              <w:rPr>
                <w:rFonts w:eastAsia="Times New Roman"/>
                <w:lang w:eastAsia="en-GB"/>
              </w:rPr>
            </w:pPr>
            <w:r>
              <w:rPr>
                <w:rFonts w:eastAsia="Times New Roman"/>
                <w:lang w:eastAsia="en-GB"/>
              </w:rPr>
              <w:t xml:space="preserve">Address recurrent theme of weaknesses in leadership and management through requesting individual suppliers to present action plan to SID representatives outlining how they will address issues and improve </w:t>
            </w:r>
            <w:proofErr w:type="gramStart"/>
            <w:r>
              <w:rPr>
                <w:rFonts w:eastAsia="Times New Roman"/>
                <w:lang w:eastAsia="en-GB"/>
              </w:rPr>
              <w:t xml:space="preserve">performance </w:t>
            </w:r>
            <w:r w:rsidR="00A77027">
              <w:rPr>
                <w:rFonts w:eastAsia="Times New Roman"/>
                <w:lang w:eastAsia="en-GB"/>
              </w:rPr>
              <w:t>.</w:t>
            </w:r>
            <w:proofErr w:type="gramEnd"/>
          </w:p>
        </w:tc>
        <w:tc>
          <w:tcPr>
            <w:tcW w:w="1276" w:type="dxa"/>
            <w:tcBorders>
              <w:top w:val="single" w:sz="4" w:space="0" w:color="auto"/>
              <w:left w:val="nil"/>
              <w:bottom w:val="single" w:sz="4" w:space="0" w:color="auto"/>
              <w:right w:val="single" w:sz="4" w:space="0" w:color="auto"/>
            </w:tcBorders>
            <w:shd w:val="clear" w:color="000000" w:fill="D8D8D8"/>
            <w:noWrap/>
          </w:tcPr>
          <w:p w:rsidR="001D7A82" w:rsidRDefault="001D7A82" w:rsidP="00DD7773">
            <w:pPr>
              <w:spacing w:after="0" w:line="240" w:lineRule="auto"/>
              <w:rPr>
                <w:rFonts w:eastAsia="Times New Roman"/>
                <w:color w:val="000000"/>
                <w:lang w:eastAsia="en-GB"/>
              </w:rPr>
            </w:pPr>
            <w:r>
              <w:rPr>
                <w:rFonts w:eastAsia="Times New Roman"/>
                <w:color w:val="000000"/>
                <w:lang w:eastAsia="en-GB"/>
              </w:rPr>
              <w:t>Sept 2014-June 2015</w:t>
            </w: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DD7773">
            <w:pPr>
              <w:spacing w:after="0" w:line="240" w:lineRule="auto"/>
              <w:rPr>
                <w:rFonts w:eastAsia="Times New Roman"/>
                <w:color w:val="000000"/>
                <w:lang w:eastAsia="en-GB"/>
              </w:rPr>
            </w:pPr>
          </w:p>
          <w:p w:rsidR="00A77027" w:rsidRDefault="00A77027" w:rsidP="00A77027">
            <w:pPr>
              <w:spacing w:after="0" w:line="240" w:lineRule="auto"/>
              <w:rPr>
                <w:rFonts w:eastAsia="Times New Roman"/>
                <w:color w:val="000000"/>
                <w:lang w:eastAsia="en-GB"/>
              </w:rPr>
            </w:pPr>
            <w:r>
              <w:rPr>
                <w:rFonts w:eastAsia="Times New Roman"/>
                <w:color w:val="000000"/>
                <w:lang w:eastAsia="en-GB"/>
              </w:rPr>
              <w:t>Sept 2014-June 2015</w:t>
            </w:r>
          </w:p>
          <w:p w:rsidR="00A77027" w:rsidRDefault="00A77027" w:rsidP="00DD7773">
            <w:pPr>
              <w:spacing w:after="0" w:line="240" w:lineRule="auto"/>
              <w:rPr>
                <w:rFonts w:eastAsia="Times New Roman"/>
                <w:color w:val="000000"/>
                <w:lang w:eastAsia="en-GB"/>
              </w:rPr>
            </w:pPr>
          </w:p>
        </w:tc>
        <w:tc>
          <w:tcPr>
            <w:tcW w:w="1429" w:type="dxa"/>
            <w:tcBorders>
              <w:top w:val="single" w:sz="4" w:space="0" w:color="auto"/>
              <w:left w:val="nil"/>
              <w:bottom w:val="single" w:sz="4" w:space="0" w:color="auto"/>
              <w:right w:val="single" w:sz="4" w:space="0" w:color="auto"/>
            </w:tcBorders>
            <w:shd w:val="clear" w:color="000000" w:fill="D8D8D8"/>
          </w:tcPr>
          <w:p w:rsidR="001D7A82" w:rsidRDefault="00A77027" w:rsidP="0019384D">
            <w:pPr>
              <w:spacing w:after="0" w:line="240" w:lineRule="auto"/>
              <w:rPr>
                <w:rFonts w:eastAsia="Times New Roman"/>
                <w:color w:val="000000"/>
                <w:lang w:eastAsia="en-GB"/>
              </w:rPr>
            </w:pPr>
            <w:r>
              <w:rPr>
                <w:rFonts w:eastAsia="Times New Roman"/>
                <w:color w:val="000000"/>
                <w:lang w:eastAsia="en-GB"/>
              </w:rPr>
              <w:t>Skills &amp; Industry Division</w:t>
            </w: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Default="00A77027" w:rsidP="0019384D">
            <w:pPr>
              <w:spacing w:after="0" w:line="240" w:lineRule="auto"/>
              <w:rPr>
                <w:rFonts w:eastAsia="Times New Roman"/>
                <w:color w:val="000000"/>
                <w:lang w:eastAsia="en-GB"/>
              </w:rPr>
            </w:pPr>
          </w:p>
          <w:p w:rsidR="00A77027" w:rsidRPr="00445620" w:rsidRDefault="00A77027" w:rsidP="0019384D">
            <w:pPr>
              <w:spacing w:after="0" w:line="240" w:lineRule="auto"/>
              <w:rPr>
                <w:rFonts w:eastAsia="Times New Roman"/>
                <w:color w:val="000000"/>
                <w:lang w:eastAsia="en-GB"/>
              </w:rPr>
            </w:pPr>
            <w:r>
              <w:rPr>
                <w:rFonts w:eastAsia="Times New Roman"/>
                <w:color w:val="000000"/>
                <w:lang w:eastAsia="en-GB"/>
              </w:rPr>
              <w:t>Skills &amp; Industry Division</w:t>
            </w:r>
          </w:p>
        </w:tc>
      </w:tr>
    </w:tbl>
    <w:p w:rsidR="00BA3AB2" w:rsidRPr="0010132E" w:rsidRDefault="00BA3AB2" w:rsidP="00CA0995">
      <w:pPr>
        <w:pStyle w:val="ListParagraph"/>
        <w:spacing w:after="0" w:line="240" w:lineRule="auto"/>
        <w:ind w:left="0"/>
        <w:rPr>
          <w:b/>
          <w:bCs/>
          <w:color w:val="000000"/>
          <w:lang w:eastAsia="en-GB"/>
        </w:rPr>
      </w:pPr>
    </w:p>
    <w:bookmarkEnd w:id="2"/>
    <w:bookmarkEnd w:id="3"/>
    <w:p w:rsidR="00BA3AB2" w:rsidRDefault="00BA3AB2" w:rsidP="00B75E32">
      <w:pPr>
        <w:numPr>
          <w:ilvl w:val="0"/>
          <w:numId w:val="10"/>
        </w:numPr>
        <w:spacing w:after="0" w:line="360" w:lineRule="auto"/>
        <w:rPr>
          <w:b/>
          <w:bCs/>
          <w:color w:val="000000"/>
          <w:sz w:val="24"/>
          <w:szCs w:val="24"/>
          <w:lang w:eastAsia="en-GB"/>
        </w:rPr>
      </w:pPr>
      <w:r>
        <w:br w:type="page"/>
      </w:r>
      <w:r w:rsidRPr="00B75E32">
        <w:rPr>
          <w:b/>
          <w:bCs/>
          <w:color w:val="000000"/>
          <w:sz w:val="24"/>
          <w:szCs w:val="24"/>
          <w:lang w:eastAsia="en-GB"/>
        </w:rPr>
        <w:lastRenderedPageBreak/>
        <w:t>The Employment Agenda</w:t>
      </w:r>
    </w:p>
    <w:p w:rsidR="00BA3AB2" w:rsidRDefault="00BA3AB2" w:rsidP="00B75E32">
      <w:pPr>
        <w:spacing w:line="360" w:lineRule="auto"/>
        <w:ind w:left="357"/>
        <w:rPr>
          <w:b/>
        </w:rPr>
      </w:pPr>
      <w:r w:rsidRPr="00331D6E">
        <w:rPr>
          <w:b/>
        </w:rPr>
        <w:t xml:space="preserve">B.1. </w:t>
      </w:r>
      <w:r w:rsidRPr="00631B51">
        <w:rPr>
          <w:b/>
          <w:sz w:val="24"/>
          <w:szCs w:val="24"/>
        </w:rPr>
        <w:t>Supporting people into employment by providing skills and training</w:t>
      </w:r>
    </w:p>
    <w:tbl>
      <w:tblPr>
        <w:tblW w:w="14660" w:type="dxa"/>
        <w:tblInd w:w="93" w:type="dxa"/>
        <w:tblLook w:val="04A0"/>
      </w:tblPr>
      <w:tblGrid>
        <w:gridCol w:w="2620"/>
        <w:gridCol w:w="3283"/>
        <w:gridCol w:w="2728"/>
        <w:gridCol w:w="2400"/>
        <w:gridCol w:w="1389"/>
        <w:gridCol w:w="2240"/>
      </w:tblGrid>
      <w:tr w:rsidR="00D85E7B" w:rsidRPr="00D85E7B" w:rsidTr="00AE5996">
        <w:trPr>
          <w:trHeight w:val="600"/>
          <w:tblHeader/>
        </w:trPr>
        <w:tc>
          <w:tcPr>
            <w:tcW w:w="262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D85E7B" w:rsidRPr="00D85E7B" w:rsidRDefault="00D85E7B" w:rsidP="00D85E7B">
            <w:pPr>
              <w:spacing w:after="0" w:line="240" w:lineRule="auto"/>
              <w:rPr>
                <w:rFonts w:eastAsia="Times New Roman"/>
                <w:b/>
                <w:bCs/>
                <w:color w:val="000000"/>
                <w:lang w:eastAsia="en-GB"/>
              </w:rPr>
            </w:pPr>
            <w:r w:rsidRPr="00D85E7B">
              <w:rPr>
                <w:rFonts w:eastAsia="Times New Roman"/>
                <w:b/>
                <w:bCs/>
                <w:color w:val="000000"/>
                <w:lang w:eastAsia="en-GB"/>
              </w:rPr>
              <w:t>Key Issue</w:t>
            </w:r>
          </w:p>
        </w:tc>
        <w:tc>
          <w:tcPr>
            <w:tcW w:w="3283" w:type="dxa"/>
            <w:tcBorders>
              <w:top w:val="single" w:sz="4" w:space="0" w:color="auto"/>
              <w:left w:val="nil"/>
              <w:bottom w:val="single" w:sz="4" w:space="0" w:color="auto"/>
              <w:right w:val="single" w:sz="4" w:space="0" w:color="auto"/>
            </w:tcBorders>
            <w:shd w:val="clear" w:color="000000" w:fill="A5A5A5"/>
            <w:vAlign w:val="bottom"/>
            <w:hideMark/>
          </w:tcPr>
          <w:p w:rsidR="00D85E7B" w:rsidRPr="00D85E7B" w:rsidRDefault="00D85E7B" w:rsidP="00D85E7B">
            <w:pPr>
              <w:spacing w:after="0" w:line="240" w:lineRule="auto"/>
              <w:rPr>
                <w:rFonts w:eastAsia="Times New Roman"/>
                <w:b/>
                <w:bCs/>
                <w:color w:val="000000"/>
                <w:lang w:eastAsia="en-GB"/>
              </w:rPr>
            </w:pPr>
            <w:r w:rsidRPr="00D85E7B">
              <w:rPr>
                <w:rFonts w:eastAsia="Times New Roman"/>
                <w:b/>
                <w:bCs/>
                <w:color w:val="000000"/>
                <w:lang w:eastAsia="en-GB"/>
              </w:rPr>
              <w:t>Planned Action from 2013 Action Plan Report</w:t>
            </w:r>
          </w:p>
        </w:tc>
        <w:tc>
          <w:tcPr>
            <w:tcW w:w="2728" w:type="dxa"/>
            <w:tcBorders>
              <w:top w:val="single" w:sz="4" w:space="0" w:color="auto"/>
              <w:left w:val="nil"/>
              <w:bottom w:val="single" w:sz="4" w:space="0" w:color="auto"/>
              <w:right w:val="triple" w:sz="4" w:space="0" w:color="auto"/>
            </w:tcBorders>
            <w:shd w:val="clear" w:color="000000" w:fill="A5A5A5"/>
            <w:vAlign w:val="bottom"/>
            <w:hideMark/>
          </w:tcPr>
          <w:p w:rsidR="00D85E7B" w:rsidRPr="00D85E7B" w:rsidRDefault="00D85E7B" w:rsidP="00D85E7B">
            <w:pPr>
              <w:spacing w:after="0" w:line="240" w:lineRule="auto"/>
              <w:rPr>
                <w:rFonts w:eastAsia="Times New Roman"/>
                <w:b/>
                <w:bCs/>
                <w:color w:val="000000"/>
                <w:lang w:eastAsia="en-GB"/>
              </w:rPr>
            </w:pPr>
            <w:r w:rsidRPr="00D85E7B">
              <w:rPr>
                <w:rFonts w:eastAsia="Times New Roman"/>
                <w:b/>
                <w:bCs/>
                <w:color w:val="000000"/>
                <w:lang w:eastAsia="en-GB"/>
              </w:rPr>
              <w:t>Progress  Against 2013 planned action</w:t>
            </w:r>
          </w:p>
        </w:tc>
        <w:tc>
          <w:tcPr>
            <w:tcW w:w="2400" w:type="dxa"/>
            <w:tcBorders>
              <w:top w:val="single" w:sz="4" w:space="0" w:color="auto"/>
              <w:left w:val="triple" w:sz="4" w:space="0" w:color="auto"/>
              <w:bottom w:val="single" w:sz="4" w:space="0" w:color="auto"/>
              <w:right w:val="single" w:sz="4" w:space="0" w:color="auto"/>
            </w:tcBorders>
            <w:shd w:val="clear" w:color="000000" w:fill="A5A5A5"/>
            <w:vAlign w:val="bottom"/>
            <w:hideMark/>
          </w:tcPr>
          <w:p w:rsidR="00D85E7B" w:rsidRPr="00D85E7B" w:rsidRDefault="00D85E7B" w:rsidP="00D85E7B">
            <w:pPr>
              <w:spacing w:after="0" w:line="240" w:lineRule="auto"/>
              <w:rPr>
                <w:rFonts w:eastAsia="Times New Roman"/>
                <w:b/>
                <w:bCs/>
                <w:color w:val="000000"/>
                <w:lang w:eastAsia="en-GB"/>
              </w:rPr>
            </w:pPr>
            <w:r w:rsidRPr="00D85E7B">
              <w:rPr>
                <w:rFonts w:eastAsia="Times New Roman"/>
                <w:b/>
                <w:bCs/>
                <w:color w:val="000000"/>
                <w:lang w:eastAsia="en-GB"/>
              </w:rPr>
              <w:t>Further Actions Planned from 2014</w:t>
            </w:r>
          </w:p>
        </w:tc>
        <w:tc>
          <w:tcPr>
            <w:tcW w:w="1389" w:type="dxa"/>
            <w:tcBorders>
              <w:top w:val="single" w:sz="4" w:space="0" w:color="auto"/>
              <w:left w:val="nil"/>
              <w:bottom w:val="single" w:sz="4" w:space="0" w:color="auto"/>
              <w:right w:val="single" w:sz="4" w:space="0" w:color="auto"/>
            </w:tcBorders>
            <w:shd w:val="clear" w:color="000000" w:fill="A5A5A5"/>
            <w:noWrap/>
            <w:vAlign w:val="bottom"/>
            <w:hideMark/>
          </w:tcPr>
          <w:p w:rsidR="00D85E7B" w:rsidRPr="00D85E7B" w:rsidRDefault="00D85E7B" w:rsidP="00D85E7B">
            <w:pPr>
              <w:spacing w:after="0" w:line="240" w:lineRule="auto"/>
              <w:rPr>
                <w:rFonts w:eastAsia="Times New Roman"/>
                <w:b/>
                <w:bCs/>
                <w:color w:val="000000"/>
                <w:lang w:eastAsia="en-GB"/>
              </w:rPr>
            </w:pPr>
            <w:r w:rsidRPr="00D85E7B">
              <w:rPr>
                <w:rFonts w:eastAsia="Times New Roman"/>
                <w:b/>
                <w:bCs/>
                <w:color w:val="000000"/>
                <w:lang w:eastAsia="en-GB"/>
              </w:rPr>
              <w:t>Timescale</w:t>
            </w:r>
          </w:p>
        </w:tc>
        <w:tc>
          <w:tcPr>
            <w:tcW w:w="2240" w:type="dxa"/>
            <w:tcBorders>
              <w:top w:val="single" w:sz="4" w:space="0" w:color="auto"/>
              <w:left w:val="nil"/>
              <w:bottom w:val="single" w:sz="4" w:space="0" w:color="auto"/>
              <w:right w:val="single" w:sz="4" w:space="0" w:color="auto"/>
            </w:tcBorders>
            <w:shd w:val="clear" w:color="000000" w:fill="A5A5A5"/>
            <w:vAlign w:val="bottom"/>
            <w:hideMark/>
          </w:tcPr>
          <w:p w:rsidR="00D85E7B" w:rsidRPr="00D85E7B" w:rsidRDefault="00D85E7B" w:rsidP="00D85E7B">
            <w:pPr>
              <w:spacing w:after="0" w:line="240" w:lineRule="auto"/>
              <w:rPr>
                <w:rFonts w:eastAsia="Times New Roman"/>
                <w:b/>
                <w:bCs/>
                <w:color w:val="000000"/>
                <w:lang w:eastAsia="en-GB"/>
              </w:rPr>
            </w:pPr>
            <w:r w:rsidRPr="00D85E7B">
              <w:rPr>
                <w:rFonts w:eastAsia="Times New Roman"/>
                <w:b/>
                <w:bCs/>
                <w:color w:val="000000"/>
                <w:lang w:eastAsia="en-GB"/>
              </w:rPr>
              <w:t>Responsible Divisions</w:t>
            </w:r>
          </w:p>
        </w:tc>
      </w:tr>
      <w:tr w:rsidR="00D85E7B" w:rsidRPr="00D85E7B" w:rsidTr="00AE5996">
        <w:trPr>
          <w:trHeight w:val="6015"/>
        </w:trPr>
        <w:tc>
          <w:tcPr>
            <w:tcW w:w="2620" w:type="dxa"/>
            <w:vMerge w:val="restart"/>
            <w:tcBorders>
              <w:top w:val="nil"/>
              <w:left w:val="single" w:sz="4" w:space="0" w:color="auto"/>
              <w:bottom w:val="single" w:sz="4" w:space="0" w:color="000000"/>
              <w:right w:val="single" w:sz="4" w:space="0" w:color="auto"/>
            </w:tcBorders>
            <w:shd w:val="clear" w:color="000000" w:fill="D8D8D8"/>
            <w:hideMark/>
          </w:tcPr>
          <w:p w:rsidR="00D85E7B" w:rsidRPr="00D85E7B" w:rsidRDefault="00D85E7B" w:rsidP="00D85E7B">
            <w:pPr>
              <w:spacing w:after="0" w:line="240" w:lineRule="auto"/>
              <w:rPr>
                <w:rFonts w:eastAsia="Times New Roman"/>
                <w:color w:val="000000"/>
                <w:lang w:eastAsia="en-GB"/>
              </w:rPr>
            </w:pPr>
            <w:r w:rsidRPr="00D85E7B">
              <w:rPr>
                <w:rFonts w:eastAsia="Times New Roman"/>
                <w:color w:val="000000"/>
                <w:lang w:eastAsia="en-GB"/>
              </w:rPr>
              <w:t>The desire to increase employment is central to the Northern Ireland Economic Strategy which sets a longer term strategic goal of increasing the employment rate in Northern Ireland so that, by 2030, it exceeds the average for the UK regions. In response to the downturn and to evidence from the Annual Performance report there is a particular need to focus on keeping young people close to the labour market and to move them into employment.</w:t>
            </w:r>
          </w:p>
        </w:tc>
        <w:tc>
          <w:tcPr>
            <w:tcW w:w="3283" w:type="dxa"/>
            <w:vMerge w:val="restart"/>
            <w:tcBorders>
              <w:top w:val="nil"/>
              <w:left w:val="single" w:sz="4" w:space="0" w:color="auto"/>
              <w:bottom w:val="single" w:sz="4" w:space="0" w:color="000000"/>
              <w:right w:val="single" w:sz="4" w:space="0" w:color="auto"/>
            </w:tcBorders>
            <w:shd w:val="clear" w:color="000000" w:fill="D8D8D8"/>
            <w:hideMark/>
          </w:tcPr>
          <w:p w:rsidR="00D85E7B" w:rsidRPr="00502786" w:rsidRDefault="00D85E7B" w:rsidP="00D85E7B">
            <w:pPr>
              <w:spacing w:after="0" w:line="240" w:lineRule="auto"/>
              <w:rPr>
                <w:rFonts w:eastAsia="Times New Roman"/>
                <w:lang w:eastAsia="en-GB"/>
              </w:rPr>
            </w:pPr>
            <w:r w:rsidRPr="00502786">
              <w:rPr>
                <w:rFonts w:eastAsia="Times New Roman"/>
                <w:lang w:eastAsia="en-GB"/>
              </w:rPr>
              <w:t>The Department is finalising the design of Steps 2 Success, the successor programme to Steps to Work. Participation will be mandatory for 18 -24 year olds after 9 months of a claim to JSA and mandatory for 25+ after 12 months of a claim.</w:t>
            </w: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694BFF" w:rsidRPr="00502786" w:rsidRDefault="00262819" w:rsidP="00694BFF">
            <w:pPr>
              <w:spacing w:after="0" w:line="240" w:lineRule="auto"/>
              <w:rPr>
                <w:rFonts w:eastAsia="Times New Roman"/>
                <w:lang w:eastAsia="en-GB"/>
              </w:rPr>
            </w:pPr>
            <w:r w:rsidRPr="00502786">
              <w:rPr>
                <w:rFonts w:eastAsia="Times New Roman"/>
                <w:lang w:eastAsia="en-GB"/>
              </w:rPr>
              <w:lastRenderedPageBreak/>
              <w:t>The Youth Employment Scheme was launched in July 2012. Backed by a 3 year investment of £31 million, the Scheme will provide work experience, skills development and employment opportunities for 18 to 24 year old unemployed young people.</w:t>
            </w:r>
          </w:p>
          <w:p w:rsidR="006A7809" w:rsidRPr="00502786" w:rsidRDefault="006A7809" w:rsidP="00694BFF">
            <w:pPr>
              <w:spacing w:after="0" w:line="240" w:lineRule="auto"/>
              <w:rPr>
                <w:rFonts w:eastAsia="Times New Roman"/>
                <w:lang w:eastAsia="en-GB"/>
              </w:rPr>
            </w:pPr>
          </w:p>
          <w:p w:rsidR="006A7809" w:rsidRPr="00502786" w:rsidRDefault="006A7809" w:rsidP="00694BFF">
            <w:pPr>
              <w:spacing w:after="0" w:line="240" w:lineRule="auto"/>
              <w:rPr>
                <w:rFonts w:eastAsia="Times New Roman"/>
                <w:lang w:eastAsia="en-GB"/>
              </w:rPr>
            </w:pPr>
          </w:p>
          <w:p w:rsidR="006A7809" w:rsidRPr="00502786" w:rsidRDefault="00E05EFA" w:rsidP="00694BFF">
            <w:pPr>
              <w:spacing w:after="0" w:line="240" w:lineRule="auto"/>
              <w:rPr>
                <w:rFonts w:eastAsia="Times New Roman"/>
                <w:lang w:eastAsia="en-GB"/>
              </w:rPr>
            </w:pPr>
            <w:r w:rsidRPr="00502786">
              <w:rPr>
                <w:rFonts w:eastAsia="Times New Roman"/>
                <w:lang w:eastAsia="en-GB"/>
              </w:rPr>
              <w:t>The Academy model is a short term intervention to help companies meet specific needs. To date, we have up-skilled unemployed graduates in software testing, cloud computing, data analytics</w:t>
            </w:r>
            <w:r w:rsidR="008D52D2" w:rsidRPr="00502786">
              <w:rPr>
                <w:rFonts w:eastAsia="Times New Roman"/>
                <w:lang w:eastAsia="en-GB"/>
              </w:rPr>
              <w:t xml:space="preserve"> and</w:t>
            </w:r>
            <w:r w:rsidRPr="00502786">
              <w:rPr>
                <w:rFonts w:eastAsia="Times New Roman"/>
                <w:lang w:eastAsia="en-GB"/>
              </w:rPr>
              <w:t xml:space="preserve"> professional software skills</w:t>
            </w:r>
            <w:r w:rsidR="008D52D2" w:rsidRPr="00502786">
              <w:rPr>
                <w:rFonts w:eastAsia="Times New Roman"/>
                <w:lang w:eastAsia="en-GB"/>
              </w:rPr>
              <w:t>,</w:t>
            </w:r>
          </w:p>
        </w:tc>
        <w:tc>
          <w:tcPr>
            <w:tcW w:w="2728" w:type="dxa"/>
            <w:vMerge w:val="restart"/>
            <w:tcBorders>
              <w:top w:val="nil"/>
              <w:left w:val="single" w:sz="4" w:space="0" w:color="auto"/>
              <w:bottom w:val="single" w:sz="4" w:space="0" w:color="000000"/>
              <w:right w:val="triple" w:sz="4" w:space="0" w:color="auto"/>
            </w:tcBorders>
            <w:shd w:val="clear" w:color="000000" w:fill="D8D8D8"/>
            <w:hideMark/>
          </w:tcPr>
          <w:p w:rsidR="00D85E7B" w:rsidRPr="00502786" w:rsidRDefault="00D85E7B" w:rsidP="00D85E7B">
            <w:pPr>
              <w:spacing w:after="0" w:line="240" w:lineRule="auto"/>
              <w:rPr>
                <w:rFonts w:eastAsia="Times New Roman"/>
                <w:lang w:eastAsia="en-GB"/>
              </w:rPr>
            </w:pPr>
            <w:r w:rsidRPr="00502786">
              <w:rPr>
                <w:rFonts w:eastAsia="Times New Roman"/>
                <w:lang w:eastAsia="en-GB"/>
              </w:rPr>
              <w:lastRenderedPageBreak/>
              <w:t xml:space="preserve">Contracts for the delivery of Steps 2 Success were awarded in July 2014.  Procurement was a 2 stage process with Stage 1 which examined financial and technical capacity and capability was completed in December 2013.  After Stage 1 six contractors were brought forward in each contract lot to complete for the award of contract, Stage 2.  Contracts were ultimately awarded to </w:t>
            </w:r>
            <w:proofErr w:type="spellStart"/>
            <w:r w:rsidRPr="00502786">
              <w:rPr>
                <w:rFonts w:eastAsia="Times New Roman"/>
                <w:lang w:eastAsia="en-GB"/>
              </w:rPr>
              <w:t>Ingeus</w:t>
            </w:r>
            <w:proofErr w:type="spellEnd"/>
            <w:r w:rsidRPr="00502786">
              <w:rPr>
                <w:rFonts w:eastAsia="Times New Roman"/>
                <w:lang w:eastAsia="en-GB"/>
              </w:rPr>
              <w:t xml:space="preserve"> (Belfast Contract area), EOS (Northern Contract Area) and Reed in partnership (Southern contract area).</w:t>
            </w: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p>
          <w:p w:rsidR="00262819" w:rsidRPr="00502786" w:rsidRDefault="00262819" w:rsidP="00D85E7B">
            <w:pPr>
              <w:spacing w:after="0" w:line="240" w:lineRule="auto"/>
              <w:rPr>
                <w:rFonts w:eastAsia="Times New Roman"/>
                <w:lang w:eastAsia="en-GB"/>
              </w:rPr>
            </w:pPr>
            <w:r w:rsidRPr="00502786">
              <w:rPr>
                <w:rFonts w:eastAsia="Times New Roman"/>
                <w:lang w:eastAsia="en-GB"/>
              </w:rPr>
              <w:lastRenderedPageBreak/>
              <w:t>11,043 Youth Employment Scheme placements had been secured by July 2014.</w:t>
            </w:r>
          </w:p>
          <w:p w:rsidR="006A7809" w:rsidRPr="00502786" w:rsidRDefault="006A7809" w:rsidP="00D85E7B">
            <w:pPr>
              <w:spacing w:after="0" w:line="240" w:lineRule="auto"/>
              <w:rPr>
                <w:rFonts w:eastAsia="Times New Roman"/>
                <w:lang w:eastAsia="en-GB"/>
              </w:rPr>
            </w:pPr>
          </w:p>
          <w:p w:rsidR="006A7809" w:rsidRPr="00502786" w:rsidRDefault="006A7809" w:rsidP="00D85E7B">
            <w:pPr>
              <w:spacing w:after="0" w:line="240" w:lineRule="auto"/>
              <w:rPr>
                <w:rFonts w:eastAsia="Times New Roman"/>
                <w:lang w:eastAsia="en-GB"/>
              </w:rPr>
            </w:pPr>
          </w:p>
          <w:p w:rsidR="006A7809" w:rsidRPr="00502786" w:rsidRDefault="006A7809" w:rsidP="00D85E7B">
            <w:pPr>
              <w:spacing w:after="0" w:line="240" w:lineRule="auto"/>
              <w:rPr>
                <w:rFonts w:eastAsia="Times New Roman"/>
                <w:lang w:eastAsia="en-GB"/>
              </w:rPr>
            </w:pPr>
          </w:p>
          <w:p w:rsidR="006A7809" w:rsidRPr="00502786" w:rsidRDefault="006A7809" w:rsidP="00D85E7B">
            <w:pPr>
              <w:spacing w:after="0" w:line="240" w:lineRule="auto"/>
              <w:rPr>
                <w:rFonts w:eastAsia="Times New Roman"/>
                <w:lang w:eastAsia="en-GB"/>
              </w:rPr>
            </w:pPr>
          </w:p>
          <w:p w:rsidR="006A7809" w:rsidRPr="00502786" w:rsidRDefault="006A7809" w:rsidP="00D85E7B">
            <w:pPr>
              <w:spacing w:after="0" w:line="240" w:lineRule="auto"/>
              <w:rPr>
                <w:rFonts w:eastAsia="Times New Roman"/>
                <w:lang w:eastAsia="en-GB"/>
              </w:rPr>
            </w:pPr>
          </w:p>
          <w:p w:rsidR="006A7809" w:rsidRPr="00502786" w:rsidRDefault="006A7809" w:rsidP="00D85E7B">
            <w:pPr>
              <w:spacing w:after="0" w:line="240" w:lineRule="auto"/>
              <w:rPr>
                <w:rFonts w:eastAsia="Times New Roman"/>
                <w:lang w:eastAsia="en-GB"/>
              </w:rPr>
            </w:pPr>
          </w:p>
          <w:p w:rsidR="006A7809" w:rsidRPr="00502786" w:rsidRDefault="006A7809" w:rsidP="00D85E7B">
            <w:pPr>
              <w:spacing w:after="0" w:line="240" w:lineRule="auto"/>
              <w:rPr>
                <w:rFonts w:eastAsia="Times New Roman"/>
                <w:lang w:eastAsia="en-GB"/>
              </w:rPr>
            </w:pPr>
          </w:p>
          <w:p w:rsidR="006A7809" w:rsidRPr="00502786" w:rsidRDefault="00E05EFA" w:rsidP="00D85E7B">
            <w:pPr>
              <w:spacing w:after="0" w:line="240" w:lineRule="auto"/>
              <w:rPr>
                <w:rFonts w:eastAsia="Times New Roman"/>
                <w:lang w:eastAsia="en-GB"/>
              </w:rPr>
            </w:pPr>
            <w:r w:rsidRPr="00502786">
              <w:rPr>
                <w:rFonts w:eastAsia="Times New Roman"/>
                <w:lang w:eastAsia="en-GB"/>
              </w:rPr>
              <w:t>During the financial year 2013/14 116 graduates commenced training in a number of Academies, 93* completed the train</w:t>
            </w:r>
            <w:r w:rsidR="00502786" w:rsidRPr="00502786">
              <w:rPr>
                <w:rFonts w:eastAsia="Times New Roman"/>
                <w:lang w:eastAsia="en-GB"/>
              </w:rPr>
              <w:t>in</w:t>
            </w:r>
            <w:r w:rsidRPr="00502786">
              <w:rPr>
                <w:rFonts w:eastAsia="Times New Roman"/>
                <w:lang w:eastAsia="en-GB"/>
              </w:rPr>
              <w:t>g with 64 gaining full time employment. Software Professional course continues to be monitored to establish the number of students who gain employment follo</w:t>
            </w:r>
            <w:r w:rsidR="008D52D2" w:rsidRPr="00502786">
              <w:rPr>
                <w:rFonts w:eastAsia="Times New Roman"/>
                <w:lang w:eastAsia="en-GB"/>
              </w:rPr>
              <w:t>w</w:t>
            </w:r>
            <w:r w:rsidRPr="00502786">
              <w:rPr>
                <w:rFonts w:eastAsia="Times New Roman"/>
                <w:lang w:eastAsia="en-GB"/>
              </w:rPr>
              <w:t>ing completion of the course</w:t>
            </w:r>
            <w:r w:rsidR="006A7809" w:rsidRPr="00502786">
              <w:rPr>
                <w:rFonts w:eastAsia="Times New Roman"/>
                <w:lang w:eastAsia="en-GB"/>
              </w:rPr>
              <w:t>.</w:t>
            </w:r>
          </w:p>
        </w:tc>
        <w:tc>
          <w:tcPr>
            <w:tcW w:w="2400" w:type="dxa"/>
            <w:tcBorders>
              <w:top w:val="single" w:sz="4" w:space="0" w:color="auto"/>
              <w:left w:val="triple" w:sz="4" w:space="0" w:color="auto"/>
              <w:bottom w:val="single" w:sz="4" w:space="0" w:color="auto"/>
              <w:right w:val="single" w:sz="4" w:space="0" w:color="auto"/>
            </w:tcBorders>
            <w:shd w:val="clear" w:color="000000" w:fill="D8D8D8"/>
            <w:hideMark/>
          </w:tcPr>
          <w:p w:rsidR="00D85E7B" w:rsidRPr="00502786" w:rsidRDefault="00D85E7B" w:rsidP="00D85E7B">
            <w:pPr>
              <w:spacing w:after="0" w:line="240" w:lineRule="auto"/>
              <w:rPr>
                <w:rFonts w:eastAsia="Times New Roman"/>
                <w:lang w:eastAsia="en-GB"/>
              </w:rPr>
            </w:pPr>
            <w:r w:rsidRPr="00502786">
              <w:rPr>
                <w:rFonts w:eastAsia="Times New Roman"/>
                <w:lang w:eastAsia="en-GB"/>
              </w:rPr>
              <w:lastRenderedPageBreak/>
              <w:t>The Steps 2 Success programme to ‘go live’</w:t>
            </w:r>
          </w:p>
          <w:p w:rsidR="001F12C9" w:rsidRPr="00502786" w:rsidRDefault="001F12C9" w:rsidP="00D85E7B">
            <w:pPr>
              <w:spacing w:after="0" w:line="240" w:lineRule="auto"/>
              <w:rPr>
                <w:rFonts w:eastAsia="Times New Roman"/>
                <w:lang w:eastAsia="en-GB"/>
              </w:rPr>
            </w:pPr>
          </w:p>
          <w:p w:rsidR="001F12C9" w:rsidRPr="00502786" w:rsidRDefault="001F12C9" w:rsidP="00D85E7B">
            <w:pPr>
              <w:spacing w:after="0" w:line="240" w:lineRule="auto"/>
              <w:rPr>
                <w:rFonts w:eastAsia="Times New Roman"/>
                <w:lang w:eastAsia="en-GB"/>
              </w:rPr>
            </w:pPr>
          </w:p>
          <w:p w:rsidR="001F12C9" w:rsidRPr="00502786" w:rsidRDefault="001F12C9" w:rsidP="00D85E7B">
            <w:pPr>
              <w:spacing w:after="0" w:line="240" w:lineRule="auto"/>
              <w:rPr>
                <w:rFonts w:eastAsia="Times New Roman"/>
                <w:lang w:eastAsia="en-GB"/>
              </w:rPr>
            </w:pPr>
          </w:p>
          <w:p w:rsidR="001F12C9" w:rsidRPr="00502786" w:rsidRDefault="001F12C9" w:rsidP="00D85E7B">
            <w:pPr>
              <w:spacing w:after="0" w:line="240" w:lineRule="auto"/>
              <w:rPr>
                <w:rFonts w:eastAsia="Times New Roman"/>
                <w:lang w:eastAsia="en-GB"/>
              </w:rPr>
            </w:pPr>
            <w:r w:rsidRPr="00502786">
              <w:rPr>
                <w:rFonts w:eastAsia="Times New Roman"/>
                <w:lang w:eastAsia="en-GB"/>
              </w:rPr>
              <w:t>The Department is currently   developing the specification for an   ‘Into Work Skills Support Contract’ for use by Employment Service front line staff providing flexible external provision to that will help job ready clients find work before they become mandated to enter Steps 2 Success.</w:t>
            </w:r>
          </w:p>
        </w:tc>
        <w:tc>
          <w:tcPr>
            <w:tcW w:w="1389" w:type="dxa"/>
            <w:tcBorders>
              <w:top w:val="single" w:sz="4" w:space="0" w:color="auto"/>
              <w:left w:val="nil"/>
              <w:bottom w:val="single" w:sz="4" w:space="0" w:color="auto"/>
              <w:right w:val="single" w:sz="4" w:space="0" w:color="auto"/>
            </w:tcBorders>
            <w:shd w:val="clear" w:color="000000" w:fill="D8D8D8"/>
            <w:hideMark/>
          </w:tcPr>
          <w:p w:rsidR="00D85E7B" w:rsidRPr="00502786" w:rsidRDefault="00A77027" w:rsidP="00D85E7B">
            <w:pPr>
              <w:spacing w:after="0" w:line="240" w:lineRule="auto"/>
              <w:rPr>
                <w:rFonts w:eastAsia="Times New Roman"/>
                <w:lang w:eastAsia="en-GB"/>
              </w:rPr>
            </w:pPr>
            <w:r w:rsidRPr="00502786">
              <w:rPr>
                <w:rFonts w:eastAsia="Times New Roman"/>
                <w:lang w:eastAsia="en-GB"/>
              </w:rPr>
              <w:t>Commenced</w:t>
            </w:r>
            <w:r w:rsidR="00D85E7B" w:rsidRPr="00502786">
              <w:rPr>
                <w:rFonts w:eastAsia="Times New Roman"/>
                <w:lang w:eastAsia="en-GB"/>
              </w:rPr>
              <w:t xml:space="preserve"> October 2014</w:t>
            </w:r>
          </w:p>
          <w:p w:rsidR="001F12C9" w:rsidRPr="00502786" w:rsidRDefault="001F12C9" w:rsidP="00D85E7B">
            <w:pPr>
              <w:spacing w:after="0" w:line="240" w:lineRule="auto"/>
              <w:rPr>
                <w:rFonts w:eastAsia="Times New Roman"/>
                <w:lang w:eastAsia="en-GB"/>
              </w:rPr>
            </w:pPr>
          </w:p>
          <w:p w:rsidR="001F12C9" w:rsidRPr="00502786" w:rsidRDefault="001F12C9" w:rsidP="00D85E7B">
            <w:pPr>
              <w:spacing w:after="0" w:line="240" w:lineRule="auto"/>
              <w:rPr>
                <w:rFonts w:eastAsia="Times New Roman"/>
                <w:lang w:eastAsia="en-GB"/>
              </w:rPr>
            </w:pPr>
          </w:p>
          <w:p w:rsidR="001F12C9" w:rsidRPr="00502786" w:rsidRDefault="001F12C9" w:rsidP="001F12C9">
            <w:pPr>
              <w:spacing w:after="0" w:line="240" w:lineRule="auto"/>
              <w:rPr>
                <w:rFonts w:eastAsia="Times New Roman"/>
                <w:lang w:eastAsia="en-GB"/>
              </w:rPr>
            </w:pPr>
            <w:r w:rsidRPr="00502786">
              <w:rPr>
                <w:rFonts w:eastAsia="Times New Roman"/>
                <w:lang w:eastAsia="en-GB"/>
              </w:rPr>
              <w:t>Contract to be procured for delivery from April 2015</w:t>
            </w:r>
          </w:p>
        </w:tc>
        <w:tc>
          <w:tcPr>
            <w:tcW w:w="2240" w:type="dxa"/>
            <w:vMerge w:val="restart"/>
            <w:tcBorders>
              <w:top w:val="single" w:sz="4" w:space="0" w:color="auto"/>
              <w:left w:val="single" w:sz="4" w:space="0" w:color="auto"/>
              <w:bottom w:val="single" w:sz="4" w:space="0" w:color="auto"/>
              <w:right w:val="single" w:sz="4" w:space="0" w:color="auto"/>
            </w:tcBorders>
            <w:shd w:val="clear" w:color="000000" w:fill="D8D8D8"/>
            <w:noWrap/>
            <w:hideMark/>
          </w:tcPr>
          <w:p w:rsidR="00D85E7B" w:rsidRPr="00502786" w:rsidRDefault="00D85E7B" w:rsidP="00D85E7B">
            <w:pPr>
              <w:spacing w:after="0" w:line="240" w:lineRule="auto"/>
              <w:rPr>
                <w:rFonts w:eastAsia="Times New Roman"/>
                <w:lang w:eastAsia="en-GB"/>
              </w:rPr>
            </w:pPr>
            <w:r w:rsidRPr="00502786">
              <w:rPr>
                <w:rFonts w:eastAsia="Times New Roman"/>
                <w:lang w:eastAsia="en-GB"/>
              </w:rPr>
              <w:t>Employment Service</w:t>
            </w: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A77027" w:rsidP="00D85E7B">
            <w:pPr>
              <w:spacing w:after="0" w:line="240" w:lineRule="auto"/>
              <w:rPr>
                <w:rFonts w:eastAsia="Times New Roman"/>
                <w:lang w:eastAsia="en-GB"/>
              </w:rPr>
            </w:pPr>
            <w:r w:rsidRPr="00502786">
              <w:rPr>
                <w:rFonts w:eastAsia="Times New Roman"/>
                <w:lang w:eastAsia="en-GB"/>
              </w:rPr>
              <w:t>Employment Service</w:t>
            </w: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E05EFA" w:rsidP="00D85E7B">
            <w:pPr>
              <w:spacing w:after="0" w:line="240" w:lineRule="auto"/>
              <w:rPr>
                <w:rFonts w:eastAsia="Times New Roman"/>
                <w:lang w:eastAsia="en-GB"/>
              </w:rPr>
            </w:pPr>
            <w:r w:rsidRPr="00502786">
              <w:rPr>
                <w:rFonts w:eastAsia="Times New Roman"/>
                <w:lang w:eastAsia="en-GB"/>
              </w:rPr>
              <w:t>Skills &amp; Industry Division</w:t>
            </w:r>
          </w:p>
        </w:tc>
      </w:tr>
      <w:tr w:rsidR="00D85E7B" w:rsidRPr="00D85E7B" w:rsidTr="00AE5996">
        <w:trPr>
          <w:trHeight w:val="4200"/>
        </w:trPr>
        <w:tc>
          <w:tcPr>
            <w:tcW w:w="2620" w:type="dxa"/>
            <w:vMerge/>
            <w:tcBorders>
              <w:top w:val="nil"/>
              <w:left w:val="single" w:sz="4" w:space="0" w:color="auto"/>
              <w:bottom w:val="single" w:sz="4" w:space="0" w:color="000000"/>
              <w:right w:val="single" w:sz="4" w:space="0" w:color="auto"/>
            </w:tcBorders>
            <w:vAlign w:val="center"/>
            <w:hideMark/>
          </w:tcPr>
          <w:p w:rsidR="00D85E7B" w:rsidRPr="00D85E7B" w:rsidRDefault="00D85E7B" w:rsidP="00D85E7B">
            <w:pPr>
              <w:spacing w:after="0" w:line="240" w:lineRule="auto"/>
              <w:rPr>
                <w:rFonts w:eastAsia="Times New Roman"/>
                <w:color w:val="000000"/>
                <w:lang w:eastAsia="en-GB"/>
              </w:rPr>
            </w:pPr>
          </w:p>
        </w:tc>
        <w:tc>
          <w:tcPr>
            <w:tcW w:w="3283" w:type="dxa"/>
            <w:vMerge/>
            <w:tcBorders>
              <w:top w:val="nil"/>
              <w:left w:val="single" w:sz="4" w:space="0" w:color="auto"/>
              <w:bottom w:val="single" w:sz="4" w:space="0" w:color="000000"/>
              <w:right w:val="single" w:sz="4" w:space="0" w:color="auto"/>
            </w:tcBorders>
            <w:vAlign w:val="center"/>
            <w:hideMark/>
          </w:tcPr>
          <w:p w:rsidR="00D85E7B" w:rsidRPr="00D85E7B" w:rsidRDefault="00D85E7B" w:rsidP="00D85E7B">
            <w:pPr>
              <w:spacing w:after="0" w:line="240" w:lineRule="auto"/>
              <w:rPr>
                <w:rFonts w:eastAsia="Times New Roman"/>
                <w:color w:val="000000"/>
                <w:lang w:eastAsia="en-GB"/>
              </w:rPr>
            </w:pPr>
          </w:p>
        </w:tc>
        <w:tc>
          <w:tcPr>
            <w:tcW w:w="2728" w:type="dxa"/>
            <w:vMerge/>
            <w:tcBorders>
              <w:top w:val="nil"/>
              <w:left w:val="single" w:sz="4" w:space="0" w:color="auto"/>
              <w:bottom w:val="single" w:sz="4" w:space="0" w:color="000000"/>
              <w:right w:val="triple" w:sz="4" w:space="0" w:color="auto"/>
            </w:tcBorders>
            <w:vAlign w:val="center"/>
            <w:hideMark/>
          </w:tcPr>
          <w:p w:rsidR="00D85E7B" w:rsidRPr="00D85E7B" w:rsidRDefault="00D85E7B" w:rsidP="00D85E7B">
            <w:pPr>
              <w:spacing w:after="0" w:line="240" w:lineRule="auto"/>
              <w:rPr>
                <w:rFonts w:eastAsia="Times New Roman"/>
                <w:lang w:eastAsia="en-GB"/>
              </w:rPr>
            </w:pPr>
          </w:p>
        </w:tc>
        <w:tc>
          <w:tcPr>
            <w:tcW w:w="2400" w:type="dxa"/>
            <w:tcBorders>
              <w:top w:val="single" w:sz="4" w:space="0" w:color="auto"/>
              <w:left w:val="triple" w:sz="4" w:space="0" w:color="auto"/>
              <w:bottom w:val="single" w:sz="4" w:space="0" w:color="auto"/>
              <w:right w:val="single" w:sz="4" w:space="0" w:color="auto"/>
            </w:tcBorders>
            <w:shd w:val="clear" w:color="000000" w:fill="D8D8D8"/>
            <w:hideMark/>
          </w:tcPr>
          <w:p w:rsidR="00D85E7B" w:rsidRPr="00502786" w:rsidRDefault="00D85E7B"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E05EFA" w:rsidP="00D85E7B">
            <w:pPr>
              <w:spacing w:after="0" w:line="240" w:lineRule="auto"/>
              <w:rPr>
                <w:rFonts w:eastAsia="Times New Roman"/>
                <w:lang w:eastAsia="en-GB"/>
              </w:rPr>
            </w:pPr>
            <w:r w:rsidRPr="00502786">
              <w:rPr>
                <w:rFonts w:eastAsia="Times New Roman"/>
                <w:lang w:eastAsia="en-GB"/>
              </w:rPr>
              <w:t>During the financial year 2014/15 we intend to undertake further academies in DATA, software professional course, analytical training and sales &amp; marketing</w:t>
            </w:r>
            <w:r w:rsidR="008D52D2" w:rsidRPr="00502786">
              <w:rPr>
                <w:rFonts w:eastAsia="Times New Roman"/>
                <w:lang w:eastAsia="en-GB"/>
              </w:rPr>
              <w:t xml:space="preserve">. </w:t>
            </w:r>
          </w:p>
        </w:tc>
        <w:tc>
          <w:tcPr>
            <w:tcW w:w="1389" w:type="dxa"/>
            <w:tcBorders>
              <w:top w:val="single" w:sz="4" w:space="0" w:color="auto"/>
              <w:left w:val="nil"/>
              <w:bottom w:val="single" w:sz="4" w:space="0" w:color="auto"/>
              <w:right w:val="single" w:sz="4" w:space="0" w:color="auto"/>
            </w:tcBorders>
            <w:shd w:val="clear" w:color="000000" w:fill="D8D8D8"/>
            <w:hideMark/>
          </w:tcPr>
          <w:p w:rsidR="00D85E7B" w:rsidRPr="00502786" w:rsidRDefault="00D85E7B"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8D52D2" w:rsidP="00D85E7B">
            <w:pPr>
              <w:spacing w:after="0" w:line="240" w:lineRule="auto"/>
              <w:rPr>
                <w:rFonts w:eastAsia="Times New Roman"/>
                <w:lang w:eastAsia="en-GB"/>
              </w:rPr>
            </w:pPr>
          </w:p>
          <w:p w:rsidR="008D52D2" w:rsidRPr="00502786" w:rsidRDefault="001832BD" w:rsidP="00D85E7B">
            <w:pPr>
              <w:spacing w:after="0" w:line="240" w:lineRule="auto"/>
              <w:rPr>
                <w:rFonts w:eastAsia="Times New Roman"/>
                <w:lang w:eastAsia="en-GB"/>
              </w:rPr>
            </w:pPr>
            <w:r>
              <w:rPr>
                <w:rFonts w:eastAsia="Times New Roman"/>
                <w:lang w:eastAsia="en-GB"/>
              </w:rPr>
              <w:t xml:space="preserve">Financial Year </w:t>
            </w:r>
            <w:r w:rsidR="00E05EFA" w:rsidRPr="00502786">
              <w:rPr>
                <w:rFonts w:eastAsia="Times New Roman"/>
                <w:lang w:eastAsia="en-GB"/>
              </w:rPr>
              <w:t>2014/15</w:t>
            </w: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D85E7B" w:rsidRPr="00502786" w:rsidRDefault="00D85E7B" w:rsidP="00D85E7B">
            <w:pPr>
              <w:spacing w:after="0" w:line="240" w:lineRule="auto"/>
              <w:rPr>
                <w:rFonts w:eastAsia="Times New Roman"/>
                <w:lang w:eastAsia="en-GB"/>
              </w:rPr>
            </w:pPr>
          </w:p>
        </w:tc>
      </w:tr>
    </w:tbl>
    <w:p w:rsidR="00BA3AB2" w:rsidRDefault="00BA3AB2" w:rsidP="00331D6E">
      <w:pPr>
        <w:ind w:left="360"/>
        <w:rPr>
          <w:b/>
        </w:rPr>
      </w:pPr>
    </w:p>
    <w:p w:rsidR="00BA3AB2" w:rsidRDefault="005B0E8E" w:rsidP="005B0E8E">
      <w:pPr>
        <w:ind w:left="360"/>
        <w:rPr>
          <w:b/>
        </w:rPr>
      </w:pPr>
      <w:r>
        <w:rPr>
          <w:b/>
        </w:rPr>
        <w:br w:type="page"/>
      </w:r>
      <w:r w:rsidR="00BA3AB2">
        <w:rPr>
          <w:b/>
        </w:rPr>
        <w:lastRenderedPageBreak/>
        <w:t xml:space="preserve">B.2. </w:t>
      </w:r>
      <w:r w:rsidR="00BA3AB2" w:rsidRPr="00442AA4">
        <w:rPr>
          <w:b/>
          <w:sz w:val="24"/>
          <w:szCs w:val="24"/>
        </w:rPr>
        <w:t>Tackling economic inactivity through skills and training</w:t>
      </w:r>
    </w:p>
    <w:tbl>
      <w:tblPr>
        <w:tblW w:w="14120" w:type="dxa"/>
        <w:tblInd w:w="93" w:type="dxa"/>
        <w:tblLook w:val="04A0"/>
      </w:tblPr>
      <w:tblGrid>
        <w:gridCol w:w="2320"/>
        <w:gridCol w:w="3340"/>
        <w:gridCol w:w="2340"/>
        <w:gridCol w:w="2160"/>
        <w:gridCol w:w="1760"/>
        <w:gridCol w:w="2200"/>
      </w:tblGrid>
      <w:tr w:rsidR="006D025B" w:rsidRPr="00445620" w:rsidTr="00AE5996">
        <w:trPr>
          <w:trHeight w:val="580"/>
          <w:tblHeader/>
        </w:trPr>
        <w:tc>
          <w:tcPr>
            <w:tcW w:w="232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Key Issue</w:t>
            </w:r>
          </w:p>
        </w:tc>
        <w:tc>
          <w:tcPr>
            <w:tcW w:w="3340" w:type="dxa"/>
            <w:tcBorders>
              <w:top w:val="single" w:sz="4" w:space="0" w:color="auto"/>
              <w:left w:val="nil"/>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 xml:space="preserve">Planned Action from 2013 </w:t>
            </w:r>
            <w:r>
              <w:rPr>
                <w:rFonts w:eastAsia="Times New Roman"/>
                <w:b/>
                <w:bCs/>
                <w:color w:val="000000"/>
                <w:lang w:eastAsia="en-GB"/>
              </w:rPr>
              <w:t xml:space="preserve">Action Plan </w:t>
            </w:r>
            <w:r w:rsidRPr="00445620">
              <w:rPr>
                <w:rFonts w:eastAsia="Times New Roman"/>
                <w:b/>
                <w:bCs/>
                <w:color w:val="000000"/>
                <w:lang w:eastAsia="en-GB"/>
              </w:rPr>
              <w:t>Report</w:t>
            </w:r>
          </w:p>
        </w:tc>
        <w:tc>
          <w:tcPr>
            <w:tcW w:w="2340" w:type="dxa"/>
            <w:tcBorders>
              <w:top w:val="single" w:sz="4" w:space="0" w:color="auto"/>
              <w:left w:val="nil"/>
              <w:bottom w:val="single" w:sz="4" w:space="0" w:color="auto"/>
              <w:right w:val="trip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Progress</w:t>
            </w:r>
            <w:r>
              <w:rPr>
                <w:rFonts w:eastAsia="Times New Roman"/>
                <w:b/>
                <w:bCs/>
                <w:color w:val="000000"/>
                <w:lang w:eastAsia="en-GB"/>
              </w:rPr>
              <w:t xml:space="preserve"> Against</w:t>
            </w:r>
            <w:r w:rsidRPr="00445620">
              <w:rPr>
                <w:rFonts w:eastAsia="Times New Roman"/>
                <w:b/>
                <w:bCs/>
                <w:color w:val="000000"/>
                <w:lang w:eastAsia="en-GB"/>
              </w:rPr>
              <w:t xml:space="preserve"> 2013 planned action</w:t>
            </w:r>
          </w:p>
        </w:tc>
        <w:tc>
          <w:tcPr>
            <w:tcW w:w="2160" w:type="dxa"/>
            <w:tcBorders>
              <w:top w:val="single" w:sz="4" w:space="0" w:color="auto"/>
              <w:left w:val="triple" w:sz="4" w:space="0" w:color="auto"/>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Further Actions Planned from 2014</w:t>
            </w:r>
          </w:p>
        </w:tc>
        <w:tc>
          <w:tcPr>
            <w:tcW w:w="1760" w:type="dxa"/>
            <w:tcBorders>
              <w:top w:val="single" w:sz="4" w:space="0" w:color="auto"/>
              <w:left w:val="nil"/>
              <w:bottom w:val="single" w:sz="4" w:space="0" w:color="auto"/>
              <w:right w:val="single" w:sz="4" w:space="0" w:color="auto"/>
            </w:tcBorders>
            <w:shd w:val="clear" w:color="000000" w:fill="A5A5A5"/>
            <w:noWrap/>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Timescale</w:t>
            </w:r>
          </w:p>
        </w:tc>
        <w:tc>
          <w:tcPr>
            <w:tcW w:w="2200" w:type="dxa"/>
            <w:tcBorders>
              <w:top w:val="single" w:sz="4" w:space="0" w:color="auto"/>
              <w:left w:val="nil"/>
              <w:bottom w:val="single" w:sz="4" w:space="0" w:color="auto"/>
              <w:right w:val="single" w:sz="4" w:space="0" w:color="auto"/>
            </w:tcBorders>
            <w:shd w:val="clear" w:color="000000" w:fill="A5A5A5"/>
            <w:vAlign w:val="bottom"/>
            <w:hideMark/>
          </w:tcPr>
          <w:p w:rsidR="006D025B" w:rsidRPr="00445620" w:rsidRDefault="006D025B" w:rsidP="00445620">
            <w:pPr>
              <w:spacing w:after="0" w:line="240" w:lineRule="auto"/>
              <w:rPr>
                <w:rFonts w:eastAsia="Times New Roman"/>
                <w:b/>
                <w:bCs/>
                <w:color w:val="000000"/>
                <w:lang w:eastAsia="en-GB"/>
              </w:rPr>
            </w:pPr>
            <w:r w:rsidRPr="00445620">
              <w:rPr>
                <w:rFonts w:eastAsia="Times New Roman"/>
                <w:b/>
                <w:bCs/>
                <w:color w:val="000000"/>
                <w:lang w:eastAsia="en-GB"/>
              </w:rPr>
              <w:t>Responsible Divisions</w:t>
            </w:r>
          </w:p>
        </w:tc>
      </w:tr>
      <w:tr w:rsidR="00445620" w:rsidRPr="00445620" w:rsidTr="00AE5996">
        <w:trPr>
          <w:trHeight w:val="4500"/>
        </w:trPr>
        <w:tc>
          <w:tcPr>
            <w:tcW w:w="2320" w:type="dxa"/>
            <w:tcBorders>
              <w:top w:val="nil"/>
              <w:left w:val="single" w:sz="4" w:space="0" w:color="auto"/>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color w:val="000000"/>
                <w:lang w:eastAsia="en-GB"/>
              </w:rPr>
            </w:pPr>
            <w:r w:rsidRPr="00445620">
              <w:rPr>
                <w:rFonts w:eastAsia="Times New Roman"/>
                <w:color w:val="000000"/>
                <w:lang w:eastAsia="en-GB"/>
              </w:rPr>
              <w:t>The Executive has committed to develop and implement a strategy to reduce economic inactivity in Northern Ireland.</w:t>
            </w:r>
          </w:p>
        </w:tc>
        <w:tc>
          <w:tcPr>
            <w:tcW w:w="3340" w:type="dxa"/>
            <w:tcBorders>
              <w:top w:val="nil"/>
              <w:left w:val="nil"/>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color w:val="000000"/>
                <w:lang w:eastAsia="en-GB"/>
              </w:rPr>
            </w:pPr>
            <w:r w:rsidRPr="00445620">
              <w:rPr>
                <w:rFonts w:eastAsia="Times New Roman"/>
                <w:color w:val="000000"/>
                <w:lang w:eastAsia="en-GB"/>
              </w:rPr>
              <w:t>The Economic Inactivity Strategy is being led by DEL and DETI and will develop interventions on the demand side and on the supply side. As a first step the Department has published a baseline study which provides a detailed analysis of factors contributing to the high rate of inactivity in Northern Ireland. The recommendations of the baseline study will underpin the draft strategy that will be presented to the Executive for agreement later this year</w:t>
            </w:r>
            <w:r w:rsidR="0019384D">
              <w:rPr>
                <w:rFonts w:eastAsia="Times New Roman"/>
                <w:color w:val="000000"/>
                <w:lang w:eastAsia="en-GB"/>
              </w:rPr>
              <w:t>.</w:t>
            </w:r>
          </w:p>
        </w:tc>
        <w:tc>
          <w:tcPr>
            <w:tcW w:w="2340" w:type="dxa"/>
            <w:tcBorders>
              <w:top w:val="single" w:sz="4" w:space="0" w:color="auto"/>
              <w:left w:val="nil"/>
              <w:bottom w:val="single" w:sz="4" w:space="0" w:color="auto"/>
              <w:right w:val="triple" w:sz="4" w:space="0" w:color="auto"/>
            </w:tcBorders>
            <w:shd w:val="clear" w:color="000000" w:fill="D8D8D8"/>
            <w:hideMark/>
          </w:tcPr>
          <w:p w:rsidR="00445620" w:rsidRPr="00445620" w:rsidRDefault="00445620" w:rsidP="00445620">
            <w:pPr>
              <w:spacing w:after="0" w:line="240" w:lineRule="auto"/>
              <w:rPr>
                <w:rFonts w:eastAsia="Times New Roman"/>
                <w:lang w:eastAsia="en-GB"/>
              </w:rPr>
            </w:pPr>
            <w:r w:rsidRPr="00445620">
              <w:rPr>
                <w:rFonts w:eastAsia="Times New Roman"/>
                <w:lang w:eastAsia="en-GB"/>
              </w:rPr>
              <w:t>In November 2013, the Executive agreed to a 12 week public consultation exercise on a draft strategic framework entitled “Enabling Success”. Consultation ended on 17 April 2014.</w:t>
            </w:r>
          </w:p>
        </w:tc>
        <w:tc>
          <w:tcPr>
            <w:tcW w:w="2160" w:type="dxa"/>
            <w:tcBorders>
              <w:top w:val="nil"/>
              <w:left w:val="triple" w:sz="4" w:space="0" w:color="auto"/>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lang w:eastAsia="en-GB"/>
              </w:rPr>
            </w:pPr>
            <w:r w:rsidRPr="00445620">
              <w:rPr>
                <w:rFonts w:eastAsia="Times New Roman"/>
                <w:lang w:eastAsia="en-GB"/>
              </w:rPr>
              <w:t>A revised draft Strategy will be presented to the Executive for approval later this year.</w:t>
            </w:r>
          </w:p>
        </w:tc>
        <w:tc>
          <w:tcPr>
            <w:tcW w:w="1760" w:type="dxa"/>
            <w:tcBorders>
              <w:top w:val="nil"/>
              <w:left w:val="nil"/>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lang w:eastAsia="en-GB"/>
              </w:rPr>
            </w:pPr>
            <w:r w:rsidRPr="00445620">
              <w:rPr>
                <w:rFonts w:eastAsia="Times New Roman"/>
                <w:lang w:eastAsia="en-GB"/>
              </w:rPr>
              <w:t>Dec</w:t>
            </w:r>
            <w:r w:rsidR="00E77D9A">
              <w:rPr>
                <w:rFonts w:eastAsia="Times New Roman"/>
                <w:lang w:eastAsia="en-GB"/>
              </w:rPr>
              <w:t xml:space="preserve"> 2014/Jan 20</w:t>
            </w:r>
            <w:r w:rsidRPr="00445620">
              <w:rPr>
                <w:rFonts w:eastAsia="Times New Roman"/>
                <w:lang w:eastAsia="en-GB"/>
              </w:rPr>
              <w:t>15</w:t>
            </w:r>
          </w:p>
        </w:tc>
        <w:tc>
          <w:tcPr>
            <w:tcW w:w="2200" w:type="dxa"/>
            <w:tcBorders>
              <w:top w:val="nil"/>
              <w:left w:val="nil"/>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color w:val="000000"/>
                <w:lang w:eastAsia="en-GB"/>
              </w:rPr>
            </w:pPr>
            <w:r w:rsidRPr="00445620">
              <w:rPr>
                <w:rFonts w:eastAsia="Times New Roman"/>
                <w:color w:val="000000"/>
                <w:lang w:eastAsia="en-GB"/>
              </w:rPr>
              <w:t>Youth Policy and Strategy Division</w:t>
            </w:r>
          </w:p>
        </w:tc>
      </w:tr>
    </w:tbl>
    <w:p w:rsidR="00B75E32" w:rsidRPr="00B75E32" w:rsidRDefault="00BA3AB2" w:rsidP="00B75E32">
      <w:pPr>
        <w:numPr>
          <w:ilvl w:val="0"/>
          <w:numId w:val="10"/>
        </w:numPr>
        <w:spacing w:after="0" w:line="360" w:lineRule="auto"/>
        <w:rPr>
          <w:b/>
          <w:bCs/>
          <w:color w:val="000000"/>
          <w:sz w:val="24"/>
          <w:szCs w:val="24"/>
          <w:lang w:eastAsia="en-GB"/>
        </w:rPr>
      </w:pPr>
      <w:r>
        <w:br w:type="page"/>
      </w:r>
      <w:r w:rsidR="00B75E32" w:rsidRPr="00B75E32">
        <w:rPr>
          <w:b/>
          <w:sz w:val="24"/>
          <w:szCs w:val="24"/>
        </w:rPr>
        <w:lastRenderedPageBreak/>
        <w:t>The Innovation Agenda</w:t>
      </w:r>
    </w:p>
    <w:p w:rsidR="00BA3AB2" w:rsidRDefault="00BA3AB2" w:rsidP="009A1D75">
      <w:pPr>
        <w:spacing w:line="240" w:lineRule="auto"/>
        <w:ind w:left="357"/>
        <w:rPr>
          <w:b/>
        </w:rPr>
      </w:pPr>
      <w:r w:rsidRPr="00FD0735">
        <w:rPr>
          <w:b/>
        </w:rPr>
        <w:t>C.1. Support Knowledge Transfer from the NI Research Base</w:t>
      </w:r>
    </w:p>
    <w:tbl>
      <w:tblPr>
        <w:tblW w:w="13880" w:type="dxa"/>
        <w:tblInd w:w="93" w:type="dxa"/>
        <w:tblLook w:val="04A0"/>
      </w:tblPr>
      <w:tblGrid>
        <w:gridCol w:w="2480"/>
        <w:gridCol w:w="3220"/>
        <w:gridCol w:w="2480"/>
        <w:gridCol w:w="2020"/>
        <w:gridCol w:w="1520"/>
        <w:gridCol w:w="2160"/>
      </w:tblGrid>
      <w:tr w:rsidR="00445620" w:rsidRPr="00445620" w:rsidTr="00AE5996">
        <w:trPr>
          <w:trHeight w:val="600"/>
          <w:tblHeader/>
        </w:trPr>
        <w:tc>
          <w:tcPr>
            <w:tcW w:w="248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Key Issue</w:t>
            </w:r>
          </w:p>
        </w:tc>
        <w:tc>
          <w:tcPr>
            <w:tcW w:w="3220" w:type="dxa"/>
            <w:tcBorders>
              <w:top w:val="single" w:sz="4" w:space="0" w:color="auto"/>
              <w:left w:val="nil"/>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 xml:space="preserve">Planned Action from 2013 </w:t>
            </w:r>
            <w:r w:rsidR="00262819">
              <w:rPr>
                <w:rFonts w:eastAsia="Times New Roman"/>
                <w:b/>
                <w:bCs/>
                <w:color w:val="000000"/>
                <w:lang w:eastAsia="en-GB"/>
              </w:rPr>
              <w:t xml:space="preserve">Action Plan </w:t>
            </w:r>
            <w:r w:rsidRPr="00445620">
              <w:rPr>
                <w:rFonts w:eastAsia="Times New Roman"/>
                <w:b/>
                <w:bCs/>
                <w:color w:val="000000"/>
                <w:lang w:eastAsia="en-GB"/>
              </w:rPr>
              <w:t>Report</w:t>
            </w:r>
          </w:p>
        </w:tc>
        <w:tc>
          <w:tcPr>
            <w:tcW w:w="2480" w:type="dxa"/>
            <w:tcBorders>
              <w:top w:val="single" w:sz="4" w:space="0" w:color="auto"/>
              <w:left w:val="nil"/>
              <w:bottom w:val="single" w:sz="4" w:space="0" w:color="auto"/>
              <w:right w:val="triple" w:sz="4" w:space="0" w:color="auto"/>
            </w:tcBorders>
            <w:shd w:val="clear" w:color="000000" w:fill="A5A5A5"/>
            <w:vAlign w:val="bottom"/>
            <w:hideMark/>
          </w:tcPr>
          <w:p w:rsidR="00445620" w:rsidRPr="00445620" w:rsidRDefault="00445620" w:rsidP="00262819">
            <w:pPr>
              <w:spacing w:after="0" w:line="240" w:lineRule="auto"/>
              <w:rPr>
                <w:rFonts w:eastAsia="Times New Roman"/>
                <w:b/>
                <w:bCs/>
                <w:color w:val="000000"/>
                <w:lang w:eastAsia="en-GB"/>
              </w:rPr>
            </w:pPr>
            <w:r w:rsidRPr="00445620">
              <w:rPr>
                <w:rFonts w:eastAsia="Times New Roman"/>
                <w:b/>
                <w:bCs/>
                <w:color w:val="000000"/>
                <w:lang w:eastAsia="en-GB"/>
              </w:rPr>
              <w:t xml:space="preserve">Progress </w:t>
            </w:r>
            <w:r w:rsidR="00262819">
              <w:rPr>
                <w:rFonts w:eastAsia="Times New Roman"/>
                <w:b/>
                <w:bCs/>
                <w:color w:val="000000"/>
                <w:lang w:eastAsia="en-GB"/>
              </w:rPr>
              <w:t>Against</w:t>
            </w:r>
            <w:r w:rsidRPr="00445620">
              <w:rPr>
                <w:rFonts w:eastAsia="Times New Roman"/>
                <w:b/>
                <w:bCs/>
                <w:color w:val="000000"/>
                <w:lang w:eastAsia="en-GB"/>
              </w:rPr>
              <w:t xml:space="preserve"> 2013 planned action</w:t>
            </w:r>
          </w:p>
        </w:tc>
        <w:tc>
          <w:tcPr>
            <w:tcW w:w="2020" w:type="dxa"/>
            <w:tcBorders>
              <w:top w:val="single" w:sz="4" w:space="0" w:color="auto"/>
              <w:left w:val="triple" w:sz="4" w:space="0" w:color="auto"/>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Further Actions Planned from 2014</w:t>
            </w:r>
          </w:p>
        </w:tc>
        <w:tc>
          <w:tcPr>
            <w:tcW w:w="1520" w:type="dxa"/>
            <w:tcBorders>
              <w:top w:val="single" w:sz="4" w:space="0" w:color="auto"/>
              <w:left w:val="nil"/>
              <w:bottom w:val="single" w:sz="4" w:space="0" w:color="auto"/>
              <w:right w:val="single" w:sz="4" w:space="0" w:color="auto"/>
            </w:tcBorders>
            <w:shd w:val="clear" w:color="000000" w:fill="A5A5A5"/>
            <w:noWrap/>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Timescale</w:t>
            </w:r>
          </w:p>
        </w:tc>
        <w:tc>
          <w:tcPr>
            <w:tcW w:w="2160" w:type="dxa"/>
            <w:tcBorders>
              <w:top w:val="single" w:sz="4" w:space="0" w:color="auto"/>
              <w:left w:val="nil"/>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Responsible Divisions</w:t>
            </w:r>
          </w:p>
        </w:tc>
      </w:tr>
      <w:tr w:rsidR="00445620" w:rsidRPr="00445620" w:rsidTr="00AE5996">
        <w:trPr>
          <w:trHeight w:val="5503"/>
        </w:trPr>
        <w:tc>
          <w:tcPr>
            <w:tcW w:w="2480" w:type="dxa"/>
            <w:tcBorders>
              <w:top w:val="nil"/>
              <w:left w:val="single" w:sz="4" w:space="0" w:color="auto"/>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color w:val="000000"/>
                <w:lang w:eastAsia="en-GB"/>
              </w:rPr>
            </w:pPr>
            <w:r w:rsidRPr="00445620">
              <w:rPr>
                <w:rFonts w:eastAsia="Times New Roman"/>
                <w:color w:val="000000"/>
                <w:lang w:eastAsia="en-GB"/>
              </w:rPr>
              <w:t>The higher education and further education sectors have the potential to significantly affect the level of innovative capacity through their role as knowledge-generators.</w:t>
            </w:r>
          </w:p>
        </w:tc>
        <w:tc>
          <w:tcPr>
            <w:tcW w:w="3220" w:type="dxa"/>
            <w:tcBorders>
              <w:top w:val="nil"/>
              <w:left w:val="nil"/>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color w:val="000000"/>
                <w:lang w:eastAsia="en-GB"/>
              </w:rPr>
            </w:pPr>
            <w:bookmarkStart w:id="4" w:name="RANGE!C7"/>
            <w:r w:rsidRPr="00445620">
              <w:rPr>
                <w:rFonts w:eastAsia="Times New Roman"/>
                <w:color w:val="000000"/>
                <w:lang w:eastAsia="en-GB"/>
              </w:rPr>
              <w:t>The Department will develop and implement a new formula funding model for the Higher Education Innovation Fund to be administered as part of the universities’ annual core funding allocation. This model will draw on best practice elsewhere to ensure that the Department is able to maximise the universities' performance against key knowledge transfer metrics while also ensuring that they are able to plan effectively, retain key staff and fully embed knowledge transfer within their overall Strategic Missions as their “Third Stream” of activity alongside, and closely integrated with, teaching and research.</w:t>
            </w:r>
            <w:bookmarkEnd w:id="4"/>
          </w:p>
        </w:tc>
        <w:tc>
          <w:tcPr>
            <w:tcW w:w="2480" w:type="dxa"/>
            <w:tcBorders>
              <w:top w:val="single" w:sz="4" w:space="0" w:color="auto"/>
              <w:left w:val="nil"/>
              <w:bottom w:val="single" w:sz="4" w:space="0" w:color="auto"/>
              <w:right w:val="triple" w:sz="4" w:space="0" w:color="auto"/>
            </w:tcBorders>
            <w:shd w:val="clear" w:color="000000" w:fill="D8D8D8"/>
            <w:hideMark/>
          </w:tcPr>
          <w:p w:rsidR="00445620" w:rsidRPr="00445620" w:rsidRDefault="00445620" w:rsidP="00445620">
            <w:pPr>
              <w:spacing w:after="0" w:line="240" w:lineRule="auto"/>
              <w:rPr>
                <w:rFonts w:eastAsia="Times New Roman"/>
                <w:lang w:eastAsia="en-GB"/>
              </w:rPr>
            </w:pPr>
            <w:r w:rsidRPr="00445620">
              <w:rPr>
                <w:rFonts w:eastAsia="Times New Roman"/>
                <w:lang w:eastAsia="en-GB"/>
              </w:rPr>
              <w:t>Achieved. New NI HEIF 4 programme implemented from start of Academic Year 2013/14.</w:t>
            </w:r>
          </w:p>
        </w:tc>
        <w:tc>
          <w:tcPr>
            <w:tcW w:w="2020" w:type="dxa"/>
            <w:tcBorders>
              <w:top w:val="nil"/>
              <w:left w:val="triple" w:sz="4" w:space="0" w:color="auto"/>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lang w:eastAsia="en-GB"/>
              </w:rPr>
            </w:pPr>
            <w:r w:rsidRPr="00445620">
              <w:rPr>
                <w:rFonts w:eastAsia="Times New Roman"/>
                <w:lang w:eastAsia="en-GB"/>
              </w:rPr>
              <w:t>The Department will continue to support the Northern Ireland universities’ engagement with business and the wider community through the implementation of NI HEIF 4. The new FE strategy will provide an opportunity to review FE colleges’ contribution in this area.</w:t>
            </w:r>
          </w:p>
        </w:tc>
        <w:tc>
          <w:tcPr>
            <w:tcW w:w="1520" w:type="dxa"/>
            <w:tcBorders>
              <w:top w:val="nil"/>
              <w:left w:val="nil"/>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color w:val="000000"/>
                <w:lang w:eastAsia="en-GB"/>
              </w:rPr>
            </w:pPr>
            <w:r w:rsidRPr="00445620">
              <w:rPr>
                <w:rFonts w:eastAsia="Times New Roman"/>
                <w:color w:val="000000"/>
                <w:lang w:eastAsia="en-GB"/>
              </w:rPr>
              <w:t>Academic Year 2014/15</w:t>
            </w:r>
          </w:p>
        </w:tc>
        <w:tc>
          <w:tcPr>
            <w:tcW w:w="2160" w:type="dxa"/>
            <w:tcBorders>
              <w:top w:val="nil"/>
              <w:left w:val="nil"/>
              <w:bottom w:val="single" w:sz="4" w:space="0" w:color="auto"/>
              <w:right w:val="single" w:sz="4" w:space="0" w:color="auto"/>
            </w:tcBorders>
            <w:shd w:val="clear" w:color="000000" w:fill="D8D8D8"/>
            <w:noWrap/>
            <w:hideMark/>
          </w:tcPr>
          <w:p w:rsidR="00445620" w:rsidRPr="00445620" w:rsidRDefault="001832BD" w:rsidP="00445620">
            <w:pPr>
              <w:spacing w:after="0" w:line="240" w:lineRule="auto"/>
              <w:rPr>
                <w:rFonts w:eastAsia="Times New Roman"/>
                <w:color w:val="000000"/>
                <w:lang w:eastAsia="en-GB"/>
              </w:rPr>
            </w:pPr>
            <w:r>
              <w:rPr>
                <w:rFonts w:eastAsia="Times New Roman"/>
                <w:color w:val="000000"/>
                <w:lang w:eastAsia="en-GB"/>
              </w:rPr>
              <w:t>He Division</w:t>
            </w:r>
          </w:p>
        </w:tc>
      </w:tr>
    </w:tbl>
    <w:p w:rsidR="00BA3AB2" w:rsidRDefault="00BA3AB2" w:rsidP="00FD0735">
      <w:pPr>
        <w:spacing w:line="360" w:lineRule="auto"/>
        <w:ind w:left="360"/>
        <w:rPr>
          <w:b/>
        </w:rPr>
      </w:pPr>
    </w:p>
    <w:p w:rsidR="00BA3AB2" w:rsidRDefault="0019384D" w:rsidP="009A1D75">
      <w:pPr>
        <w:spacing w:line="240" w:lineRule="auto"/>
        <w:ind w:left="357"/>
        <w:rPr>
          <w:b/>
        </w:rPr>
      </w:pPr>
      <w:r>
        <w:rPr>
          <w:b/>
        </w:rPr>
        <w:br w:type="page"/>
      </w:r>
      <w:r w:rsidR="00BA3AB2">
        <w:rPr>
          <w:b/>
        </w:rPr>
        <w:lastRenderedPageBreak/>
        <w:t>C.2. Encourage increased HE / FE / business collaboration</w:t>
      </w:r>
    </w:p>
    <w:tbl>
      <w:tblPr>
        <w:tblW w:w="14300" w:type="dxa"/>
        <w:tblInd w:w="93" w:type="dxa"/>
        <w:tblLook w:val="04A0"/>
      </w:tblPr>
      <w:tblGrid>
        <w:gridCol w:w="2740"/>
        <w:gridCol w:w="3320"/>
        <w:gridCol w:w="2440"/>
        <w:gridCol w:w="2280"/>
        <w:gridCol w:w="1280"/>
        <w:gridCol w:w="2240"/>
      </w:tblGrid>
      <w:tr w:rsidR="00445620" w:rsidRPr="00445620" w:rsidTr="00AE5996">
        <w:trPr>
          <w:trHeight w:val="380"/>
          <w:tblHeader/>
        </w:trPr>
        <w:tc>
          <w:tcPr>
            <w:tcW w:w="27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Key Issue</w:t>
            </w:r>
          </w:p>
        </w:tc>
        <w:tc>
          <w:tcPr>
            <w:tcW w:w="3320" w:type="dxa"/>
            <w:tcBorders>
              <w:top w:val="single" w:sz="4" w:space="0" w:color="auto"/>
              <w:left w:val="nil"/>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 xml:space="preserve">Planned Action from 2013 </w:t>
            </w:r>
            <w:r w:rsidR="00262819">
              <w:rPr>
                <w:rFonts w:eastAsia="Times New Roman"/>
                <w:b/>
                <w:bCs/>
                <w:color w:val="000000"/>
                <w:lang w:eastAsia="en-GB"/>
              </w:rPr>
              <w:t xml:space="preserve">Action Plan </w:t>
            </w:r>
            <w:r w:rsidRPr="00445620">
              <w:rPr>
                <w:rFonts w:eastAsia="Times New Roman"/>
                <w:b/>
                <w:bCs/>
                <w:color w:val="000000"/>
                <w:lang w:eastAsia="en-GB"/>
              </w:rPr>
              <w:t>Report</w:t>
            </w:r>
          </w:p>
        </w:tc>
        <w:tc>
          <w:tcPr>
            <w:tcW w:w="2440" w:type="dxa"/>
            <w:tcBorders>
              <w:top w:val="single" w:sz="4" w:space="0" w:color="auto"/>
              <w:left w:val="nil"/>
              <w:bottom w:val="single" w:sz="4" w:space="0" w:color="auto"/>
              <w:right w:val="triple" w:sz="4" w:space="0" w:color="auto"/>
            </w:tcBorders>
            <w:shd w:val="clear" w:color="000000" w:fill="A5A5A5"/>
            <w:vAlign w:val="bottom"/>
            <w:hideMark/>
          </w:tcPr>
          <w:p w:rsidR="00445620" w:rsidRPr="00445620" w:rsidRDefault="00445620" w:rsidP="00262819">
            <w:pPr>
              <w:spacing w:after="0" w:line="240" w:lineRule="auto"/>
              <w:rPr>
                <w:rFonts w:eastAsia="Times New Roman"/>
                <w:b/>
                <w:bCs/>
                <w:color w:val="000000"/>
                <w:lang w:eastAsia="en-GB"/>
              </w:rPr>
            </w:pPr>
            <w:r w:rsidRPr="00445620">
              <w:rPr>
                <w:rFonts w:eastAsia="Times New Roman"/>
                <w:b/>
                <w:bCs/>
                <w:color w:val="000000"/>
                <w:lang w:eastAsia="en-GB"/>
              </w:rPr>
              <w:t xml:space="preserve">Progress </w:t>
            </w:r>
            <w:r w:rsidR="00262819">
              <w:rPr>
                <w:rFonts w:eastAsia="Times New Roman"/>
                <w:b/>
                <w:bCs/>
                <w:color w:val="000000"/>
                <w:lang w:eastAsia="en-GB"/>
              </w:rPr>
              <w:t>Against</w:t>
            </w:r>
            <w:r w:rsidRPr="00445620">
              <w:rPr>
                <w:rFonts w:eastAsia="Times New Roman"/>
                <w:b/>
                <w:bCs/>
                <w:color w:val="000000"/>
                <w:lang w:eastAsia="en-GB"/>
              </w:rPr>
              <w:t xml:space="preserve"> 2013 planned action</w:t>
            </w:r>
          </w:p>
        </w:tc>
        <w:tc>
          <w:tcPr>
            <w:tcW w:w="2280" w:type="dxa"/>
            <w:tcBorders>
              <w:top w:val="single" w:sz="4" w:space="0" w:color="auto"/>
              <w:left w:val="triple" w:sz="4" w:space="0" w:color="auto"/>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Further Actions Planned from 2014</w:t>
            </w:r>
          </w:p>
        </w:tc>
        <w:tc>
          <w:tcPr>
            <w:tcW w:w="1280" w:type="dxa"/>
            <w:tcBorders>
              <w:top w:val="single" w:sz="4" w:space="0" w:color="auto"/>
              <w:left w:val="nil"/>
              <w:bottom w:val="single" w:sz="4" w:space="0" w:color="auto"/>
              <w:right w:val="single" w:sz="4" w:space="0" w:color="auto"/>
            </w:tcBorders>
            <w:shd w:val="clear" w:color="000000" w:fill="A5A5A5"/>
            <w:noWrap/>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Timescale</w:t>
            </w:r>
          </w:p>
        </w:tc>
        <w:tc>
          <w:tcPr>
            <w:tcW w:w="2240" w:type="dxa"/>
            <w:tcBorders>
              <w:top w:val="single" w:sz="4" w:space="0" w:color="auto"/>
              <w:left w:val="nil"/>
              <w:bottom w:val="single" w:sz="4" w:space="0" w:color="auto"/>
              <w:right w:val="single" w:sz="4" w:space="0" w:color="auto"/>
            </w:tcBorders>
            <w:shd w:val="clear" w:color="000000" w:fill="A5A5A5"/>
            <w:vAlign w:val="bottom"/>
            <w:hideMark/>
          </w:tcPr>
          <w:p w:rsidR="00445620" w:rsidRPr="00445620" w:rsidRDefault="00445620" w:rsidP="00445620">
            <w:pPr>
              <w:spacing w:after="0" w:line="240" w:lineRule="auto"/>
              <w:rPr>
                <w:rFonts w:eastAsia="Times New Roman"/>
                <w:b/>
                <w:bCs/>
                <w:color w:val="000000"/>
                <w:lang w:eastAsia="en-GB"/>
              </w:rPr>
            </w:pPr>
            <w:r w:rsidRPr="00445620">
              <w:rPr>
                <w:rFonts w:eastAsia="Times New Roman"/>
                <w:b/>
                <w:bCs/>
                <w:color w:val="000000"/>
                <w:lang w:eastAsia="en-GB"/>
              </w:rPr>
              <w:t>Responsible Divisions</w:t>
            </w:r>
          </w:p>
        </w:tc>
      </w:tr>
      <w:tr w:rsidR="00445620" w:rsidRPr="00445620" w:rsidTr="00AE5996">
        <w:trPr>
          <w:trHeight w:val="6300"/>
        </w:trPr>
        <w:tc>
          <w:tcPr>
            <w:tcW w:w="2740" w:type="dxa"/>
            <w:tcBorders>
              <w:top w:val="nil"/>
              <w:left w:val="single" w:sz="4" w:space="0" w:color="auto"/>
              <w:bottom w:val="single" w:sz="4" w:space="0" w:color="auto"/>
              <w:right w:val="single" w:sz="4" w:space="0" w:color="auto"/>
            </w:tcBorders>
            <w:shd w:val="clear" w:color="000000" w:fill="D8D8D8"/>
            <w:hideMark/>
          </w:tcPr>
          <w:p w:rsidR="00445620" w:rsidRPr="00445620" w:rsidRDefault="00445620" w:rsidP="002B5264">
            <w:pPr>
              <w:spacing w:after="0" w:line="240" w:lineRule="auto"/>
              <w:rPr>
                <w:rFonts w:eastAsia="Times New Roman"/>
                <w:color w:val="000000"/>
                <w:lang w:eastAsia="en-GB"/>
              </w:rPr>
            </w:pPr>
            <w:r w:rsidRPr="00445620">
              <w:rPr>
                <w:rFonts w:eastAsia="Times New Roman"/>
                <w:color w:val="000000"/>
                <w:lang w:eastAsia="en-GB"/>
              </w:rPr>
              <w:t xml:space="preserve">The university sector, in collaboration with the further education sector </w:t>
            </w:r>
            <w:r w:rsidR="002B5264">
              <w:rPr>
                <w:rFonts w:eastAsia="Times New Roman"/>
                <w:color w:val="000000"/>
                <w:lang w:eastAsia="en-GB"/>
              </w:rPr>
              <w:t xml:space="preserve">should continue to </w:t>
            </w:r>
            <w:r w:rsidRPr="00445620">
              <w:rPr>
                <w:rFonts w:eastAsia="Times New Roman"/>
                <w:color w:val="000000"/>
                <w:lang w:eastAsia="en-GB"/>
              </w:rPr>
              <w:t>offer access to technology and knowledge capital to meet the development needs of business.</w:t>
            </w:r>
          </w:p>
        </w:tc>
        <w:tc>
          <w:tcPr>
            <w:tcW w:w="3320" w:type="dxa"/>
            <w:tcBorders>
              <w:top w:val="nil"/>
              <w:left w:val="nil"/>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color w:val="000000"/>
                <w:lang w:eastAsia="en-GB"/>
              </w:rPr>
            </w:pPr>
            <w:r w:rsidRPr="00445620">
              <w:rPr>
                <w:rFonts w:eastAsia="Times New Roman"/>
                <w:color w:val="000000"/>
                <w:lang w:eastAsia="en-GB"/>
              </w:rPr>
              <w:t>To develop and implement a third round of the Connected programme in order to build upon and sustain the progress to date in terms of collaborative working and transfer of knowledge between the FE and HE sectors, and knowledge transfer between these sectors and businesses.</w:t>
            </w:r>
          </w:p>
        </w:tc>
        <w:tc>
          <w:tcPr>
            <w:tcW w:w="2440" w:type="dxa"/>
            <w:tcBorders>
              <w:top w:val="single" w:sz="4" w:space="0" w:color="auto"/>
              <w:left w:val="nil"/>
              <w:bottom w:val="single" w:sz="4" w:space="0" w:color="auto"/>
              <w:right w:val="triple" w:sz="4" w:space="0" w:color="auto"/>
            </w:tcBorders>
            <w:shd w:val="clear" w:color="000000" w:fill="D8D8D8"/>
            <w:hideMark/>
          </w:tcPr>
          <w:p w:rsidR="00445620" w:rsidRPr="00445620" w:rsidRDefault="00445620" w:rsidP="00445620">
            <w:pPr>
              <w:spacing w:after="0" w:line="240" w:lineRule="auto"/>
              <w:rPr>
                <w:rFonts w:eastAsia="Times New Roman"/>
                <w:lang w:eastAsia="en-GB"/>
              </w:rPr>
            </w:pPr>
            <w:r w:rsidRPr="00445620">
              <w:rPr>
                <w:rFonts w:eastAsia="Times New Roman"/>
                <w:lang w:eastAsia="en-GB"/>
              </w:rPr>
              <w:t>Achieved. New Connected 3 programme implemented from start of Financial Year 2014/15.</w:t>
            </w:r>
          </w:p>
        </w:tc>
        <w:tc>
          <w:tcPr>
            <w:tcW w:w="2280" w:type="dxa"/>
            <w:tcBorders>
              <w:top w:val="nil"/>
              <w:left w:val="triple" w:sz="4" w:space="0" w:color="auto"/>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lang w:eastAsia="en-GB"/>
              </w:rPr>
            </w:pPr>
            <w:r w:rsidRPr="00445620">
              <w:rPr>
                <w:rFonts w:eastAsia="Times New Roman"/>
                <w:lang w:eastAsia="en-GB"/>
              </w:rPr>
              <w:t xml:space="preserve">The Department will continue to support coordinated knowledge transfer provision between the universities and further education colleges focussed on the meeting the needs of Northern Ireland businesses and the wider community through the implementation of Connected 3. The new FE strategy will provide an opportunity to review FE colleges’ contribution in this area. </w:t>
            </w:r>
          </w:p>
        </w:tc>
        <w:tc>
          <w:tcPr>
            <w:tcW w:w="1280" w:type="dxa"/>
            <w:tcBorders>
              <w:top w:val="nil"/>
              <w:left w:val="nil"/>
              <w:bottom w:val="single" w:sz="4" w:space="0" w:color="auto"/>
              <w:right w:val="single" w:sz="4" w:space="0" w:color="auto"/>
            </w:tcBorders>
            <w:shd w:val="clear" w:color="000000" w:fill="D8D8D8"/>
            <w:hideMark/>
          </w:tcPr>
          <w:p w:rsidR="00445620" w:rsidRPr="00445620" w:rsidRDefault="00445620" w:rsidP="00445620">
            <w:pPr>
              <w:spacing w:after="0" w:line="240" w:lineRule="auto"/>
              <w:rPr>
                <w:rFonts w:eastAsia="Times New Roman"/>
                <w:color w:val="000000"/>
                <w:lang w:eastAsia="en-GB"/>
              </w:rPr>
            </w:pPr>
            <w:r w:rsidRPr="00445620">
              <w:rPr>
                <w:rFonts w:eastAsia="Times New Roman"/>
                <w:color w:val="000000"/>
                <w:lang w:eastAsia="en-GB"/>
              </w:rPr>
              <w:t>Financial Year 2014/15</w:t>
            </w:r>
          </w:p>
        </w:tc>
        <w:tc>
          <w:tcPr>
            <w:tcW w:w="2240" w:type="dxa"/>
            <w:tcBorders>
              <w:top w:val="nil"/>
              <w:left w:val="nil"/>
              <w:bottom w:val="single" w:sz="4" w:space="0" w:color="auto"/>
              <w:right w:val="single" w:sz="4" w:space="0" w:color="auto"/>
            </w:tcBorders>
            <w:shd w:val="clear" w:color="000000" w:fill="D8D8D8"/>
            <w:hideMark/>
          </w:tcPr>
          <w:p w:rsidR="00445620" w:rsidRPr="00445620" w:rsidRDefault="001832BD" w:rsidP="00445620">
            <w:pPr>
              <w:spacing w:after="0" w:line="240" w:lineRule="auto"/>
              <w:rPr>
                <w:rFonts w:eastAsia="Times New Roman"/>
                <w:color w:val="000000"/>
                <w:lang w:eastAsia="en-GB"/>
              </w:rPr>
            </w:pPr>
            <w:r>
              <w:rPr>
                <w:rFonts w:eastAsia="Times New Roman"/>
                <w:color w:val="000000"/>
                <w:lang w:eastAsia="en-GB"/>
              </w:rPr>
              <w:t>He and FE Divisions</w:t>
            </w:r>
          </w:p>
        </w:tc>
      </w:tr>
    </w:tbl>
    <w:p w:rsidR="00445620" w:rsidRDefault="00445620"/>
    <w:sectPr w:rsidR="00445620" w:rsidSect="001B6A51">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7B" w:rsidRDefault="00C6097B" w:rsidP="00A33032">
      <w:pPr>
        <w:spacing w:after="0" w:line="240" w:lineRule="auto"/>
      </w:pPr>
      <w:r>
        <w:separator/>
      </w:r>
    </w:p>
  </w:endnote>
  <w:endnote w:type="continuationSeparator" w:id="0">
    <w:p w:rsidR="00C6097B" w:rsidRDefault="00C6097B" w:rsidP="00A33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GothicITCby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9" w:rsidRDefault="00E77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B2" w:rsidRDefault="00F8773F">
    <w:pPr>
      <w:pStyle w:val="Footer"/>
      <w:jc w:val="right"/>
    </w:pPr>
    <w:r>
      <w:fldChar w:fldCharType="begin"/>
    </w:r>
    <w:r w:rsidR="00E05EFA">
      <w:instrText xml:space="preserve"> PAGE   \* MERGEFORMAT </w:instrText>
    </w:r>
    <w:r>
      <w:fldChar w:fldCharType="separate"/>
    </w:r>
    <w:r w:rsidR="0058382A">
      <w:rPr>
        <w:noProof/>
      </w:rPr>
      <w:t>5</w:t>
    </w:r>
    <w:r>
      <w:fldChar w:fldCharType="end"/>
    </w:r>
  </w:p>
  <w:p w:rsidR="00BA3AB2" w:rsidRDefault="00BA3A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9" w:rsidRDefault="00E77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7B" w:rsidRDefault="00C6097B" w:rsidP="00A33032">
      <w:pPr>
        <w:spacing w:after="0" w:line="240" w:lineRule="auto"/>
      </w:pPr>
      <w:r>
        <w:separator/>
      </w:r>
    </w:p>
  </w:footnote>
  <w:footnote w:type="continuationSeparator" w:id="0">
    <w:p w:rsidR="00C6097B" w:rsidRDefault="00C6097B" w:rsidP="00A33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9" w:rsidRDefault="00E77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B2" w:rsidRDefault="00BA3A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9" w:rsidRDefault="00E77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9B4"/>
    <w:multiLevelType w:val="hybridMultilevel"/>
    <w:tmpl w:val="A1B4DE8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905B24"/>
    <w:multiLevelType w:val="hybridMultilevel"/>
    <w:tmpl w:val="86FCE78C"/>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5730770"/>
    <w:multiLevelType w:val="hybridMultilevel"/>
    <w:tmpl w:val="A27607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6196B3F"/>
    <w:multiLevelType w:val="hybridMultilevel"/>
    <w:tmpl w:val="F24E51E2"/>
    <w:lvl w:ilvl="0" w:tplc="D53844D8">
      <w:start w:val="1"/>
      <w:numFmt w:val="upperLetter"/>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AD76327"/>
    <w:multiLevelType w:val="hybridMultilevel"/>
    <w:tmpl w:val="5A88AD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B825AEF"/>
    <w:multiLevelType w:val="hybridMultilevel"/>
    <w:tmpl w:val="9CC85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E57C22"/>
    <w:multiLevelType w:val="hybridMultilevel"/>
    <w:tmpl w:val="E308330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4B3C045C"/>
    <w:multiLevelType w:val="hybridMultilevel"/>
    <w:tmpl w:val="49FA8BAC"/>
    <w:lvl w:ilvl="0" w:tplc="F9B6707E">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86C6529"/>
    <w:multiLevelType w:val="hybridMultilevel"/>
    <w:tmpl w:val="1B96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AF0F60"/>
    <w:multiLevelType w:val="hybridMultilevel"/>
    <w:tmpl w:val="6E4610FE"/>
    <w:lvl w:ilvl="0" w:tplc="0B62191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B71E87"/>
    <w:multiLevelType w:val="hybridMultilevel"/>
    <w:tmpl w:val="A8F4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10"/>
  </w:num>
  <w:num w:numId="6">
    <w:abstractNumId w:val="4"/>
  </w:num>
  <w:num w:numId="7">
    <w:abstractNumId w:val="9"/>
  </w:num>
  <w:num w:numId="8">
    <w:abstractNumId w:val="5"/>
  </w:num>
  <w:num w:numId="9">
    <w:abstractNumId w:val="8"/>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20"/>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32E"/>
    <w:rsid w:val="000009BC"/>
    <w:rsid w:val="00001998"/>
    <w:rsid w:val="00013A25"/>
    <w:rsid w:val="000202C6"/>
    <w:rsid w:val="00020B8C"/>
    <w:rsid w:val="00023C8F"/>
    <w:rsid w:val="00025938"/>
    <w:rsid w:val="000268C1"/>
    <w:rsid w:val="00027882"/>
    <w:rsid w:val="00035F97"/>
    <w:rsid w:val="000400E2"/>
    <w:rsid w:val="0004272C"/>
    <w:rsid w:val="00042D84"/>
    <w:rsid w:val="0004452D"/>
    <w:rsid w:val="00046907"/>
    <w:rsid w:val="00047844"/>
    <w:rsid w:val="00051152"/>
    <w:rsid w:val="00053A3A"/>
    <w:rsid w:val="000553BB"/>
    <w:rsid w:val="000621DD"/>
    <w:rsid w:val="00063C11"/>
    <w:rsid w:val="00067297"/>
    <w:rsid w:val="000701B0"/>
    <w:rsid w:val="00070D37"/>
    <w:rsid w:val="0008702E"/>
    <w:rsid w:val="0009134C"/>
    <w:rsid w:val="000A1D6A"/>
    <w:rsid w:val="000A49C7"/>
    <w:rsid w:val="000B5213"/>
    <w:rsid w:val="000C0019"/>
    <w:rsid w:val="000C18B2"/>
    <w:rsid w:val="000C3A79"/>
    <w:rsid w:val="000C6A67"/>
    <w:rsid w:val="000D0C67"/>
    <w:rsid w:val="000D51F7"/>
    <w:rsid w:val="000D5E20"/>
    <w:rsid w:val="000E01A2"/>
    <w:rsid w:val="000E573A"/>
    <w:rsid w:val="000F300D"/>
    <w:rsid w:val="000F5B56"/>
    <w:rsid w:val="000F5E17"/>
    <w:rsid w:val="0010132E"/>
    <w:rsid w:val="00103BE5"/>
    <w:rsid w:val="0012238F"/>
    <w:rsid w:val="0012760F"/>
    <w:rsid w:val="0012777D"/>
    <w:rsid w:val="00142764"/>
    <w:rsid w:val="00153BE6"/>
    <w:rsid w:val="0015470F"/>
    <w:rsid w:val="0015675A"/>
    <w:rsid w:val="0015749F"/>
    <w:rsid w:val="0016102B"/>
    <w:rsid w:val="00173FDD"/>
    <w:rsid w:val="0017698F"/>
    <w:rsid w:val="001813FB"/>
    <w:rsid w:val="001832BD"/>
    <w:rsid w:val="00192A34"/>
    <w:rsid w:val="0019384D"/>
    <w:rsid w:val="001946F5"/>
    <w:rsid w:val="00194E38"/>
    <w:rsid w:val="0019607A"/>
    <w:rsid w:val="001A05A6"/>
    <w:rsid w:val="001A7BFE"/>
    <w:rsid w:val="001B056B"/>
    <w:rsid w:val="001B0FDF"/>
    <w:rsid w:val="001B6A51"/>
    <w:rsid w:val="001C50AA"/>
    <w:rsid w:val="001D2CC2"/>
    <w:rsid w:val="001D7A82"/>
    <w:rsid w:val="001E584F"/>
    <w:rsid w:val="001E75E1"/>
    <w:rsid w:val="001F12C9"/>
    <w:rsid w:val="001F1A77"/>
    <w:rsid w:val="001F3CA9"/>
    <w:rsid w:val="001F4822"/>
    <w:rsid w:val="001F48F5"/>
    <w:rsid w:val="001F69CB"/>
    <w:rsid w:val="001F6FE7"/>
    <w:rsid w:val="001F7123"/>
    <w:rsid w:val="00213630"/>
    <w:rsid w:val="00221431"/>
    <w:rsid w:val="00223E36"/>
    <w:rsid w:val="00224232"/>
    <w:rsid w:val="0022555B"/>
    <w:rsid w:val="00230D0F"/>
    <w:rsid w:val="00235ED5"/>
    <w:rsid w:val="00242038"/>
    <w:rsid w:val="0025512D"/>
    <w:rsid w:val="002575A0"/>
    <w:rsid w:val="00262819"/>
    <w:rsid w:val="00265C9B"/>
    <w:rsid w:val="002733F7"/>
    <w:rsid w:val="002775A9"/>
    <w:rsid w:val="00287D37"/>
    <w:rsid w:val="002A54BE"/>
    <w:rsid w:val="002A6369"/>
    <w:rsid w:val="002A7D6A"/>
    <w:rsid w:val="002B4244"/>
    <w:rsid w:val="002B5264"/>
    <w:rsid w:val="002B5C1A"/>
    <w:rsid w:val="002B614A"/>
    <w:rsid w:val="002C0FEF"/>
    <w:rsid w:val="002C12C4"/>
    <w:rsid w:val="002C513E"/>
    <w:rsid w:val="002C759F"/>
    <w:rsid w:val="002D28F5"/>
    <w:rsid w:val="002D2959"/>
    <w:rsid w:val="002D309A"/>
    <w:rsid w:val="002D7876"/>
    <w:rsid w:val="002F2D36"/>
    <w:rsid w:val="002F547D"/>
    <w:rsid w:val="002F7577"/>
    <w:rsid w:val="002F7EE6"/>
    <w:rsid w:val="00304A66"/>
    <w:rsid w:val="00304D27"/>
    <w:rsid w:val="003140D8"/>
    <w:rsid w:val="00317484"/>
    <w:rsid w:val="00320469"/>
    <w:rsid w:val="0032468D"/>
    <w:rsid w:val="00325F7E"/>
    <w:rsid w:val="00331673"/>
    <w:rsid w:val="00331ABA"/>
    <w:rsid w:val="00331C51"/>
    <w:rsid w:val="00331D6E"/>
    <w:rsid w:val="00333A7A"/>
    <w:rsid w:val="00337FD7"/>
    <w:rsid w:val="00340B5C"/>
    <w:rsid w:val="00340F99"/>
    <w:rsid w:val="003469CB"/>
    <w:rsid w:val="00350FA4"/>
    <w:rsid w:val="0035353A"/>
    <w:rsid w:val="003568C3"/>
    <w:rsid w:val="003569FD"/>
    <w:rsid w:val="003630D7"/>
    <w:rsid w:val="0036379D"/>
    <w:rsid w:val="0037246C"/>
    <w:rsid w:val="0037464B"/>
    <w:rsid w:val="00376250"/>
    <w:rsid w:val="00382480"/>
    <w:rsid w:val="00383C82"/>
    <w:rsid w:val="003979D2"/>
    <w:rsid w:val="003A1679"/>
    <w:rsid w:val="003A414E"/>
    <w:rsid w:val="003A7D04"/>
    <w:rsid w:val="003B7FBA"/>
    <w:rsid w:val="003C2200"/>
    <w:rsid w:val="003C4326"/>
    <w:rsid w:val="003D03A9"/>
    <w:rsid w:val="003E0971"/>
    <w:rsid w:val="003E29C4"/>
    <w:rsid w:val="003F253C"/>
    <w:rsid w:val="00402A32"/>
    <w:rsid w:val="004075CE"/>
    <w:rsid w:val="00420122"/>
    <w:rsid w:val="004238DC"/>
    <w:rsid w:val="004258B8"/>
    <w:rsid w:val="00426D1A"/>
    <w:rsid w:val="00435D3D"/>
    <w:rsid w:val="00436703"/>
    <w:rsid w:val="0043677C"/>
    <w:rsid w:val="0044090A"/>
    <w:rsid w:val="00442AA4"/>
    <w:rsid w:val="00443058"/>
    <w:rsid w:val="00445620"/>
    <w:rsid w:val="004519EC"/>
    <w:rsid w:val="00454850"/>
    <w:rsid w:val="00460F35"/>
    <w:rsid w:val="0046543F"/>
    <w:rsid w:val="00467A28"/>
    <w:rsid w:val="0047451F"/>
    <w:rsid w:val="00475ACF"/>
    <w:rsid w:val="00476141"/>
    <w:rsid w:val="004805A7"/>
    <w:rsid w:val="00486FCC"/>
    <w:rsid w:val="0049618D"/>
    <w:rsid w:val="004A2229"/>
    <w:rsid w:val="004A4907"/>
    <w:rsid w:val="004A4FC6"/>
    <w:rsid w:val="004B1B1E"/>
    <w:rsid w:val="004B788B"/>
    <w:rsid w:val="004C6337"/>
    <w:rsid w:val="004D0565"/>
    <w:rsid w:val="004D1D2D"/>
    <w:rsid w:val="004E12FC"/>
    <w:rsid w:val="004F1B14"/>
    <w:rsid w:val="005004C7"/>
    <w:rsid w:val="00502786"/>
    <w:rsid w:val="005036AA"/>
    <w:rsid w:val="00504C89"/>
    <w:rsid w:val="0050577B"/>
    <w:rsid w:val="00505B0D"/>
    <w:rsid w:val="00507FFD"/>
    <w:rsid w:val="00512DFD"/>
    <w:rsid w:val="005169AD"/>
    <w:rsid w:val="00516C39"/>
    <w:rsid w:val="00521C38"/>
    <w:rsid w:val="00526174"/>
    <w:rsid w:val="00527CBA"/>
    <w:rsid w:val="00530DE9"/>
    <w:rsid w:val="00533F62"/>
    <w:rsid w:val="005375E8"/>
    <w:rsid w:val="0053771B"/>
    <w:rsid w:val="00541A16"/>
    <w:rsid w:val="00545F62"/>
    <w:rsid w:val="00554D18"/>
    <w:rsid w:val="0056137A"/>
    <w:rsid w:val="00562601"/>
    <w:rsid w:val="00581570"/>
    <w:rsid w:val="0058382A"/>
    <w:rsid w:val="005852D1"/>
    <w:rsid w:val="005902A5"/>
    <w:rsid w:val="00590560"/>
    <w:rsid w:val="00591F39"/>
    <w:rsid w:val="005924AF"/>
    <w:rsid w:val="00593FFF"/>
    <w:rsid w:val="005952CE"/>
    <w:rsid w:val="00597EF0"/>
    <w:rsid w:val="005A2D84"/>
    <w:rsid w:val="005A2DB1"/>
    <w:rsid w:val="005A523D"/>
    <w:rsid w:val="005A5FC9"/>
    <w:rsid w:val="005B0E8E"/>
    <w:rsid w:val="005B1E0D"/>
    <w:rsid w:val="005B21B0"/>
    <w:rsid w:val="005B2E53"/>
    <w:rsid w:val="005B2F81"/>
    <w:rsid w:val="005B415E"/>
    <w:rsid w:val="005C0EDA"/>
    <w:rsid w:val="005D1E0F"/>
    <w:rsid w:val="005D451D"/>
    <w:rsid w:val="005E0066"/>
    <w:rsid w:val="005E03A0"/>
    <w:rsid w:val="005E0D63"/>
    <w:rsid w:val="005E55FE"/>
    <w:rsid w:val="005E7FE0"/>
    <w:rsid w:val="005F11B6"/>
    <w:rsid w:val="005F3351"/>
    <w:rsid w:val="005F50B8"/>
    <w:rsid w:val="00612F5F"/>
    <w:rsid w:val="00621F80"/>
    <w:rsid w:val="006230A2"/>
    <w:rsid w:val="006274FF"/>
    <w:rsid w:val="006319D3"/>
    <w:rsid w:val="00631B51"/>
    <w:rsid w:val="00636E1D"/>
    <w:rsid w:val="0064058F"/>
    <w:rsid w:val="006448ED"/>
    <w:rsid w:val="006516E8"/>
    <w:rsid w:val="006539B5"/>
    <w:rsid w:val="0065513F"/>
    <w:rsid w:val="00666715"/>
    <w:rsid w:val="00666827"/>
    <w:rsid w:val="006717CE"/>
    <w:rsid w:val="00676064"/>
    <w:rsid w:val="00677EB5"/>
    <w:rsid w:val="0068338B"/>
    <w:rsid w:val="00684AE4"/>
    <w:rsid w:val="006852DF"/>
    <w:rsid w:val="00685E08"/>
    <w:rsid w:val="00686E1B"/>
    <w:rsid w:val="00690AAD"/>
    <w:rsid w:val="00690FF6"/>
    <w:rsid w:val="00691263"/>
    <w:rsid w:val="00691CBE"/>
    <w:rsid w:val="00693C42"/>
    <w:rsid w:val="00694BFF"/>
    <w:rsid w:val="006A01FF"/>
    <w:rsid w:val="006A3A9D"/>
    <w:rsid w:val="006A3C68"/>
    <w:rsid w:val="006A5B42"/>
    <w:rsid w:val="006A697B"/>
    <w:rsid w:val="006A7809"/>
    <w:rsid w:val="006C1312"/>
    <w:rsid w:val="006C1AF5"/>
    <w:rsid w:val="006C68B8"/>
    <w:rsid w:val="006C7EDC"/>
    <w:rsid w:val="006D025B"/>
    <w:rsid w:val="006D43F1"/>
    <w:rsid w:val="006D4DC1"/>
    <w:rsid w:val="006D5BB0"/>
    <w:rsid w:val="006E2B78"/>
    <w:rsid w:val="006E5616"/>
    <w:rsid w:val="006F1716"/>
    <w:rsid w:val="006F2028"/>
    <w:rsid w:val="006F3503"/>
    <w:rsid w:val="006F64F2"/>
    <w:rsid w:val="00703276"/>
    <w:rsid w:val="00704BF2"/>
    <w:rsid w:val="00713C6C"/>
    <w:rsid w:val="00714AC5"/>
    <w:rsid w:val="00714D5E"/>
    <w:rsid w:val="00715C76"/>
    <w:rsid w:val="00716265"/>
    <w:rsid w:val="00725342"/>
    <w:rsid w:val="00743E1A"/>
    <w:rsid w:val="0074747C"/>
    <w:rsid w:val="00753669"/>
    <w:rsid w:val="00755890"/>
    <w:rsid w:val="007634CA"/>
    <w:rsid w:val="00766A84"/>
    <w:rsid w:val="00767F88"/>
    <w:rsid w:val="007726A8"/>
    <w:rsid w:val="007728FB"/>
    <w:rsid w:val="00774BA2"/>
    <w:rsid w:val="0077591D"/>
    <w:rsid w:val="00775C5A"/>
    <w:rsid w:val="00781804"/>
    <w:rsid w:val="00781D71"/>
    <w:rsid w:val="00781E89"/>
    <w:rsid w:val="00785737"/>
    <w:rsid w:val="00785FF3"/>
    <w:rsid w:val="0079377F"/>
    <w:rsid w:val="00793A35"/>
    <w:rsid w:val="007A00D5"/>
    <w:rsid w:val="007A158C"/>
    <w:rsid w:val="007A6698"/>
    <w:rsid w:val="007A715F"/>
    <w:rsid w:val="007B5774"/>
    <w:rsid w:val="007B75CF"/>
    <w:rsid w:val="007B7C0E"/>
    <w:rsid w:val="007B7EC0"/>
    <w:rsid w:val="007C0D89"/>
    <w:rsid w:val="007D16F6"/>
    <w:rsid w:val="007D23FB"/>
    <w:rsid w:val="007E3034"/>
    <w:rsid w:val="007E7DE3"/>
    <w:rsid w:val="007F02F2"/>
    <w:rsid w:val="007F52A8"/>
    <w:rsid w:val="007F68DE"/>
    <w:rsid w:val="00803646"/>
    <w:rsid w:val="00805CD8"/>
    <w:rsid w:val="008120D9"/>
    <w:rsid w:val="00816627"/>
    <w:rsid w:val="008168EC"/>
    <w:rsid w:val="008255CB"/>
    <w:rsid w:val="00842AEE"/>
    <w:rsid w:val="008449AD"/>
    <w:rsid w:val="00857744"/>
    <w:rsid w:val="008635D8"/>
    <w:rsid w:val="00866643"/>
    <w:rsid w:val="00867B7D"/>
    <w:rsid w:val="00872384"/>
    <w:rsid w:val="00872B34"/>
    <w:rsid w:val="00875282"/>
    <w:rsid w:val="00887D7A"/>
    <w:rsid w:val="00893916"/>
    <w:rsid w:val="00894F28"/>
    <w:rsid w:val="008971BA"/>
    <w:rsid w:val="008A26A1"/>
    <w:rsid w:val="008A5AAC"/>
    <w:rsid w:val="008A7EF1"/>
    <w:rsid w:val="008B09C4"/>
    <w:rsid w:val="008B0AFA"/>
    <w:rsid w:val="008B54CF"/>
    <w:rsid w:val="008C08F1"/>
    <w:rsid w:val="008C2BB4"/>
    <w:rsid w:val="008C6602"/>
    <w:rsid w:val="008D2775"/>
    <w:rsid w:val="008D52D2"/>
    <w:rsid w:val="008D5675"/>
    <w:rsid w:val="008D7EF1"/>
    <w:rsid w:val="008E32A4"/>
    <w:rsid w:val="008F4977"/>
    <w:rsid w:val="008F54FC"/>
    <w:rsid w:val="00915708"/>
    <w:rsid w:val="00916B6C"/>
    <w:rsid w:val="00917338"/>
    <w:rsid w:val="00932386"/>
    <w:rsid w:val="00932E45"/>
    <w:rsid w:val="009355CA"/>
    <w:rsid w:val="009419FA"/>
    <w:rsid w:val="009568BB"/>
    <w:rsid w:val="009600C2"/>
    <w:rsid w:val="00962AAA"/>
    <w:rsid w:val="00970D76"/>
    <w:rsid w:val="00971F26"/>
    <w:rsid w:val="00976FEF"/>
    <w:rsid w:val="0097734F"/>
    <w:rsid w:val="009804D9"/>
    <w:rsid w:val="00980A42"/>
    <w:rsid w:val="009A1D75"/>
    <w:rsid w:val="009A2C6C"/>
    <w:rsid w:val="009A7CBC"/>
    <w:rsid w:val="009B0522"/>
    <w:rsid w:val="009B21A3"/>
    <w:rsid w:val="009B4E2E"/>
    <w:rsid w:val="009B56EC"/>
    <w:rsid w:val="009C0BEC"/>
    <w:rsid w:val="009C314E"/>
    <w:rsid w:val="009D529F"/>
    <w:rsid w:val="009D6618"/>
    <w:rsid w:val="009D6A47"/>
    <w:rsid w:val="009E3619"/>
    <w:rsid w:val="009E5575"/>
    <w:rsid w:val="009F118B"/>
    <w:rsid w:val="009F4443"/>
    <w:rsid w:val="00A00FA3"/>
    <w:rsid w:val="00A05455"/>
    <w:rsid w:val="00A07B65"/>
    <w:rsid w:val="00A10A26"/>
    <w:rsid w:val="00A1640E"/>
    <w:rsid w:val="00A21DFD"/>
    <w:rsid w:val="00A21E9C"/>
    <w:rsid w:val="00A24544"/>
    <w:rsid w:val="00A24D49"/>
    <w:rsid w:val="00A26BD6"/>
    <w:rsid w:val="00A27C2B"/>
    <w:rsid w:val="00A30008"/>
    <w:rsid w:val="00A33032"/>
    <w:rsid w:val="00A42204"/>
    <w:rsid w:val="00A46BDD"/>
    <w:rsid w:val="00A576DB"/>
    <w:rsid w:val="00A61930"/>
    <w:rsid w:val="00A727EA"/>
    <w:rsid w:val="00A77027"/>
    <w:rsid w:val="00A770D8"/>
    <w:rsid w:val="00A81EBE"/>
    <w:rsid w:val="00A84089"/>
    <w:rsid w:val="00A87221"/>
    <w:rsid w:val="00A91DA9"/>
    <w:rsid w:val="00AA00C7"/>
    <w:rsid w:val="00AA74AD"/>
    <w:rsid w:val="00AB126E"/>
    <w:rsid w:val="00AB301E"/>
    <w:rsid w:val="00AD03FD"/>
    <w:rsid w:val="00AD06BC"/>
    <w:rsid w:val="00AD29E1"/>
    <w:rsid w:val="00AD74D6"/>
    <w:rsid w:val="00AE5996"/>
    <w:rsid w:val="00AE5BB4"/>
    <w:rsid w:val="00AE68B5"/>
    <w:rsid w:val="00AE7F71"/>
    <w:rsid w:val="00AF05D2"/>
    <w:rsid w:val="00AF381E"/>
    <w:rsid w:val="00AF3BEE"/>
    <w:rsid w:val="00AF4D7B"/>
    <w:rsid w:val="00AF7144"/>
    <w:rsid w:val="00B01321"/>
    <w:rsid w:val="00B04B2A"/>
    <w:rsid w:val="00B06143"/>
    <w:rsid w:val="00B06F67"/>
    <w:rsid w:val="00B0713A"/>
    <w:rsid w:val="00B11CC7"/>
    <w:rsid w:val="00B1265D"/>
    <w:rsid w:val="00B27BAA"/>
    <w:rsid w:val="00B40A70"/>
    <w:rsid w:val="00B40EB5"/>
    <w:rsid w:val="00B475A6"/>
    <w:rsid w:val="00B50E6A"/>
    <w:rsid w:val="00B61850"/>
    <w:rsid w:val="00B65F5D"/>
    <w:rsid w:val="00B7277B"/>
    <w:rsid w:val="00B74445"/>
    <w:rsid w:val="00B75E32"/>
    <w:rsid w:val="00B803A0"/>
    <w:rsid w:val="00B80ABD"/>
    <w:rsid w:val="00B870B8"/>
    <w:rsid w:val="00B90626"/>
    <w:rsid w:val="00B91904"/>
    <w:rsid w:val="00B97D2D"/>
    <w:rsid w:val="00B97FFE"/>
    <w:rsid w:val="00BA3AB2"/>
    <w:rsid w:val="00BA427F"/>
    <w:rsid w:val="00BB0F1F"/>
    <w:rsid w:val="00BB17E2"/>
    <w:rsid w:val="00BB1DC3"/>
    <w:rsid w:val="00BB6F7F"/>
    <w:rsid w:val="00BC3853"/>
    <w:rsid w:val="00BE1C3A"/>
    <w:rsid w:val="00BF34CA"/>
    <w:rsid w:val="00BF3B8E"/>
    <w:rsid w:val="00BF5DFF"/>
    <w:rsid w:val="00BF6C52"/>
    <w:rsid w:val="00C06651"/>
    <w:rsid w:val="00C109F7"/>
    <w:rsid w:val="00C15229"/>
    <w:rsid w:val="00C172A0"/>
    <w:rsid w:val="00C20204"/>
    <w:rsid w:val="00C20534"/>
    <w:rsid w:val="00C2069B"/>
    <w:rsid w:val="00C22D30"/>
    <w:rsid w:val="00C235A7"/>
    <w:rsid w:val="00C23E4E"/>
    <w:rsid w:val="00C26C24"/>
    <w:rsid w:val="00C26CE4"/>
    <w:rsid w:val="00C3185F"/>
    <w:rsid w:val="00C341A9"/>
    <w:rsid w:val="00C367A3"/>
    <w:rsid w:val="00C41361"/>
    <w:rsid w:val="00C46278"/>
    <w:rsid w:val="00C46A8A"/>
    <w:rsid w:val="00C6097B"/>
    <w:rsid w:val="00C6144C"/>
    <w:rsid w:val="00C6265B"/>
    <w:rsid w:val="00C6604B"/>
    <w:rsid w:val="00C6625B"/>
    <w:rsid w:val="00C666D5"/>
    <w:rsid w:val="00C66D35"/>
    <w:rsid w:val="00C7010E"/>
    <w:rsid w:val="00C776E8"/>
    <w:rsid w:val="00C8109C"/>
    <w:rsid w:val="00C83E4D"/>
    <w:rsid w:val="00C8484B"/>
    <w:rsid w:val="00C87E8C"/>
    <w:rsid w:val="00C902B5"/>
    <w:rsid w:val="00C903D8"/>
    <w:rsid w:val="00C91189"/>
    <w:rsid w:val="00C97828"/>
    <w:rsid w:val="00CA0995"/>
    <w:rsid w:val="00CA1B4E"/>
    <w:rsid w:val="00CA4420"/>
    <w:rsid w:val="00CA5EFF"/>
    <w:rsid w:val="00CB098A"/>
    <w:rsid w:val="00CB1F52"/>
    <w:rsid w:val="00CB34CA"/>
    <w:rsid w:val="00CB42E1"/>
    <w:rsid w:val="00CB47F5"/>
    <w:rsid w:val="00CC0A57"/>
    <w:rsid w:val="00CC6EB7"/>
    <w:rsid w:val="00CC7899"/>
    <w:rsid w:val="00CD3303"/>
    <w:rsid w:val="00CD760E"/>
    <w:rsid w:val="00CE0908"/>
    <w:rsid w:val="00CE10A6"/>
    <w:rsid w:val="00CE4E68"/>
    <w:rsid w:val="00CF02CB"/>
    <w:rsid w:val="00D01600"/>
    <w:rsid w:val="00D05F4F"/>
    <w:rsid w:val="00D07933"/>
    <w:rsid w:val="00D110CE"/>
    <w:rsid w:val="00D1331A"/>
    <w:rsid w:val="00D13B33"/>
    <w:rsid w:val="00D141D8"/>
    <w:rsid w:val="00D15893"/>
    <w:rsid w:val="00D25119"/>
    <w:rsid w:val="00D25D1E"/>
    <w:rsid w:val="00D26313"/>
    <w:rsid w:val="00D32063"/>
    <w:rsid w:val="00D40F5D"/>
    <w:rsid w:val="00D453DC"/>
    <w:rsid w:val="00D53592"/>
    <w:rsid w:val="00D5735D"/>
    <w:rsid w:val="00D64F95"/>
    <w:rsid w:val="00D671F1"/>
    <w:rsid w:val="00D70A18"/>
    <w:rsid w:val="00D73334"/>
    <w:rsid w:val="00D73E13"/>
    <w:rsid w:val="00D73EEB"/>
    <w:rsid w:val="00D81D1F"/>
    <w:rsid w:val="00D845EE"/>
    <w:rsid w:val="00D848A1"/>
    <w:rsid w:val="00D85E7B"/>
    <w:rsid w:val="00D8704D"/>
    <w:rsid w:val="00D95714"/>
    <w:rsid w:val="00DA6838"/>
    <w:rsid w:val="00DB069A"/>
    <w:rsid w:val="00DB1D3C"/>
    <w:rsid w:val="00DB218A"/>
    <w:rsid w:val="00DB2EAC"/>
    <w:rsid w:val="00DB3963"/>
    <w:rsid w:val="00DC713D"/>
    <w:rsid w:val="00DC7604"/>
    <w:rsid w:val="00DD3699"/>
    <w:rsid w:val="00DD49C2"/>
    <w:rsid w:val="00DD7773"/>
    <w:rsid w:val="00DE0267"/>
    <w:rsid w:val="00DE61DC"/>
    <w:rsid w:val="00DE7687"/>
    <w:rsid w:val="00E0024B"/>
    <w:rsid w:val="00E002FD"/>
    <w:rsid w:val="00E05EFA"/>
    <w:rsid w:val="00E15BC7"/>
    <w:rsid w:val="00E15CAE"/>
    <w:rsid w:val="00E2337B"/>
    <w:rsid w:val="00E26647"/>
    <w:rsid w:val="00E31E5F"/>
    <w:rsid w:val="00E56A93"/>
    <w:rsid w:val="00E62C5D"/>
    <w:rsid w:val="00E64F41"/>
    <w:rsid w:val="00E664AF"/>
    <w:rsid w:val="00E6664D"/>
    <w:rsid w:val="00E72A48"/>
    <w:rsid w:val="00E77890"/>
    <w:rsid w:val="00E778B9"/>
    <w:rsid w:val="00E77D9A"/>
    <w:rsid w:val="00E81238"/>
    <w:rsid w:val="00E835A2"/>
    <w:rsid w:val="00E8414D"/>
    <w:rsid w:val="00E858FE"/>
    <w:rsid w:val="00E952FC"/>
    <w:rsid w:val="00E95555"/>
    <w:rsid w:val="00E978E3"/>
    <w:rsid w:val="00EA25D7"/>
    <w:rsid w:val="00EA44AA"/>
    <w:rsid w:val="00EB4F1B"/>
    <w:rsid w:val="00EC0966"/>
    <w:rsid w:val="00EC0C79"/>
    <w:rsid w:val="00EC2B28"/>
    <w:rsid w:val="00EC6374"/>
    <w:rsid w:val="00ED7AE4"/>
    <w:rsid w:val="00EE3F18"/>
    <w:rsid w:val="00EF0A06"/>
    <w:rsid w:val="00EF5D80"/>
    <w:rsid w:val="00EF5E89"/>
    <w:rsid w:val="00EF73C9"/>
    <w:rsid w:val="00EF7A7C"/>
    <w:rsid w:val="00F005A2"/>
    <w:rsid w:val="00F02499"/>
    <w:rsid w:val="00F07610"/>
    <w:rsid w:val="00F14FAC"/>
    <w:rsid w:val="00F21915"/>
    <w:rsid w:val="00F27A87"/>
    <w:rsid w:val="00F3157C"/>
    <w:rsid w:val="00F37B82"/>
    <w:rsid w:val="00F43FE4"/>
    <w:rsid w:val="00F579F5"/>
    <w:rsid w:val="00F73835"/>
    <w:rsid w:val="00F73C65"/>
    <w:rsid w:val="00F81F27"/>
    <w:rsid w:val="00F83A90"/>
    <w:rsid w:val="00F845C3"/>
    <w:rsid w:val="00F84F2E"/>
    <w:rsid w:val="00F8773F"/>
    <w:rsid w:val="00F927A1"/>
    <w:rsid w:val="00FA472F"/>
    <w:rsid w:val="00FA4916"/>
    <w:rsid w:val="00FA5CBC"/>
    <w:rsid w:val="00FB069A"/>
    <w:rsid w:val="00FB35BE"/>
    <w:rsid w:val="00FC054D"/>
    <w:rsid w:val="00FC0A4F"/>
    <w:rsid w:val="00FD0735"/>
    <w:rsid w:val="00FD35CF"/>
    <w:rsid w:val="00FD7A26"/>
    <w:rsid w:val="00FF3A37"/>
    <w:rsid w:val="00FF5156"/>
    <w:rsid w:val="00FF590F"/>
    <w:rsid w:val="00FF7C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0132E"/>
    <w:pPr>
      <w:ind w:left="720"/>
      <w:contextualSpacing/>
    </w:pPr>
  </w:style>
  <w:style w:type="paragraph" w:styleId="Header">
    <w:name w:val="header"/>
    <w:basedOn w:val="Normal"/>
    <w:link w:val="HeaderChar"/>
    <w:uiPriority w:val="99"/>
    <w:semiHidden/>
    <w:rsid w:val="00A33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33032"/>
    <w:rPr>
      <w:rFonts w:cs="Times New Roman"/>
    </w:rPr>
  </w:style>
  <w:style w:type="paragraph" w:styleId="Footer">
    <w:name w:val="footer"/>
    <w:basedOn w:val="Normal"/>
    <w:link w:val="FooterChar"/>
    <w:uiPriority w:val="99"/>
    <w:rsid w:val="00A3303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3032"/>
    <w:rPr>
      <w:rFonts w:cs="Times New Roman"/>
    </w:rPr>
  </w:style>
  <w:style w:type="character" w:styleId="CommentReference">
    <w:name w:val="annotation reference"/>
    <w:basedOn w:val="DefaultParagraphFont"/>
    <w:uiPriority w:val="99"/>
    <w:semiHidden/>
    <w:rsid w:val="00BF5DFF"/>
    <w:rPr>
      <w:rFonts w:cs="Times New Roman"/>
      <w:sz w:val="16"/>
      <w:szCs w:val="16"/>
    </w:rPr>
  </w:style>
  <w:style w:type="paragraph" w:styleId="CommentText">
    <w:name w:val="annotation text"/>
    <w:basedOn w:val="Normal"/>
    <w:link w:val="CommentTextChar"/>
    <w:uiPriority w:val="99"/>
    <w:semiHidden/>
    <w:rsid w:val="00BF5D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5DFF"/>
    <w:rPr>
      <w:rFonts w:cs="Times New Roman"/>
      <w:sz w:val="20"/>
      <w:szCs w:val="20"/>
    </w:rPr>
  </w:style>
  <w:style w:type="paragraph" w:styleId="CommentSubject">
    <w:name w:val="annotation subject"/>
    <w:basedOn w:val="CommentText"/>
    <w:next w:val="CommentText"/>
    <w:link w:val="CommentSubjectChar"/>
    <w:uiPriority w:val="99"/>
    <w:semiHidden/>
    <w:rsid w:val="00BF5DFF"/>
    <w:rPr>
      <w:b/>
      <w:bCs/>
    </w:rPr>
  </w:style>
  <w:style w:type="character" w:customStyle="1" w:styleId="CommentSubjectChar">
    <w:name w:val="Comment Subject Char"/>
    <w:basedOn w:val="CommentTextChar"/>
    <w:link w:val="CommentSubject"/>
    <w:uiPriority w:val="99"/>
    <w:semiHidden/>
    <w:locked/>
    <w:rsid w:val="00BF5DFF"/>
    <w:rPr>
      <w:b/>
      <w:bCs/>
    </w:rPr>
  </w:style>
  <w:style w:type="paragraph" w:styleId="BalloonText">
    <w:name w:val="Balloon Text"/>
    <w:basedOn w:val="Normal"/>
    <w:link w:val="BalloonTextChar"/>
    <w:uiPriority w:val="99"/>
    <w:semiHidden/>
    <w:rsid w:val="00BF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DFF"/>
    <w:rPr>
      <w:rFonts w:ascii="Tahoma" w:hAnsi="Tahoma" w:cs="Tahoma"/>
      <w:sz w:val="16"/>
      <w:szCs w:val="16"/>
    </w:rPr>
  </w:style>
  <w:style w:type="paragraph" w:styleId="FootnoteText">
    <w:name w:val="footnote text"/>
    <w:basedOn w:val="Normal"/>
    <w:link w:val="FootnoteTextChar1"/>
    <w:uiPriority w:val="99"/>
    <w:semiHidden/>
    <w:rsid w:val="0053771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53771B"/>
    <w:rPr>
      <w:rFonts w:cs="Times New Roman"/>
      <w:sz w:val="20"/>
      <w:szCs w:val="20"/>
    </w:rPr>
  </w:style>
  <w:style w:type="character" w:styleId="FootnoteReference">
    <w:name w:val="footnote reference"/>
    <w:basedOn w:val="DefaultParagraphFont"/>
    <w:uiPriority w:val="99"/>
    <w:semiHidden/>
    <w:rsid w:val="0053771B"/>
    <w:rPr>
      <w:rFonts w:cs="Times New Roman"/>
      <w:vertAlign w:val="superscript"/>
    </w:rPr>
  </w:style>
  <w:style w:type="character" w:customStyle="1" w:styleId="FootnoteTextChar1">
    <w:name w:val="Footnote Text Char1"/>
    <w:basedOn w:val="DefaultParagraphFont"/>
    <w:link w:val="FootnoteText"/>
    <w:uiPriority w:val="99"/>
    <w:semiHidden/>
    <w:locked/>
    <w:rsid w:val="0053771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4499477">
      <w:bodyDiv w:val="1"/>
      <w:marLeft w:val="0"/>
      <w:marRight w:val="0"/>
      <w:marTop w:val="0"/>
      <w:marBottom w:val="0"/>
      <w:divBdr>
        <w:top w:val="none" w:sz="0" w:space="0" w:color="auto"/>
        <w:left w:val="none" w:sz="0" w:space="0" w:color="auto"/>
        <w:bottom w:val="none" w:sz="0" w:space="0" w:color="auto"/>
        <w:right w:val="none" w:sz="0" w:space="0" w:color="auto"/>
      </w:divBdr>
    </w:div>
    <w:div w:id="513423783">
      <w:bodyDiv w:val="1"/>
      <w:marLeft w:val="0"/>
      <w:marRight w:val="0"/>
      <w:marTop w:val="0"/>
      <w:marBottom w:val="0"/>
      <w:divBdr>
        <w:top w:val="none" w:sz="0" w:space="0" w:color="auto"/>
        <w:left w:val="none" w:sz="0" w:space="0" w:color="auto"/>
        <w:bottom w:val="none" w:sz="0" w:space="0" w:color="auto"/>
        <w:right w:val="none" w:sz="0" w:space="0" w:color="auto"/>
      </w:divBdr>
    </w:div>
    <w:div w:id="531918689">
      <w:marLeft w:val="0"/>
      <w:marRight w:val="0"/>
      <w:marTop w:val="0"/>
      <w:marBottom w:val="0"/>
      <w:divBdr>
        <w:top w:val="none" w:sz="0" w:space="0" w:color="auto"/>
        <w:left w:val="none" w:sz="0" w:space="0" w:color="auto"/>
        <w:bottom w:val="none" w:sz="0" w:space="0" w:color="auto"/>
        <w:right w:val="none" w:sz="0" w:space="0" w:color="auto"/>
      </w:divBdr>
    </w:div>
    <w:div w:id="531918690">
      <w:marLeft w:val="0"/>
      <w:marRight w:val="0"/>
      <w:marTop w:val="0"/>
      <w:marBottom w:val="0"/>
      <w:divBdr>
        <w:top w:val="none" w:sz="0" w:space="0" w:color="auto"/>
        <w:left w:val="none" w:sz="0" w:space="0" w:color="auto"/>
        <w:bottom w:val="none" w:sz="0" w:space="0" w:color="auto"/>
        <w:right w:val="none" w:sz="0" w:space="0" w:color="auto"/>
      </w:divBdr>
    </w:div>
    <w:div w:id="531918691">
      <w:marLeft w:val="0"/>
      <w:marRight w:val="0"/>
      <w:marTop w:val="0"/>
      <w:marBottom w:val="0"/>
      <w:divBdr>
        <w:top w:val="none" w:sz="0" w:space="0" w:color="auto"/>
        <w:left w:val="none" w:sz="0" w:space="0" w:color="auto"/>
        <w:bottom w:val="none" w:sz="0" w:space="0" w:color="auto"/>
        <w:right w:val="none" w:sz="0" w:space="0" w:color="auto"/>
      </w:divBdr>
    </w:div>
    <w:div w:id="531918692">
      <w:marLeft w:val="0"/>
      <w:marRight w:val="0"/>
      <w:marTop w:val="0"/>
      <w:marBottom w:val="0"/>
      <w:divBdr>
        <w:top w:val="none" w:sz="0" w:space="0" w:color="auto"/>
        <w:left w:val="none" w:sz="0" w:space="0" w:color="auto"/>
        <w:bottom w:val="none" w:sz="0" w:space="0" w:color="auto"/>
        <w:right w:val="none" w:sz="0" w:space="0" w:color="auto"/>
      </w:divBdr>
    </w:div>
    <w:div w:id="531918693">
      <w:marLeft w:val="0"/>
      <w:marRight w:val="0"/>
      <w:marTop w:val="0"/>
      <w:marBottom w:val="0"/>
      <w:divBdr>
        <w:top w:val="none" w:sz="0" w:space="0" w:color="auto"/>
        <w:left w:val="none" w:sz="0" w:space="0" w:color="auto"/>
        <w:bottom w:val="none" w:sz="0" w:space="0" w:color="auto"/>
        <w:right w:val="none" w:sz="0" w:space="0" w:color="auto"/>
      </w:divBdr>
    </w:div>
    <w:div w:id="531918694">
      <w:marLeft w:val="0"/>
      <w:marRight w:val="0"/>
      <w:marTop w:val="0"/>
      <w:marBottom w:val="0"/>
      <w:divBdr>
        <w:top w:val="none" w:sz="0" w:space="0" w:color="auto"/>
        <w:left w:val="none" w:sz="0" w:space="0" w:color="auto"/>
        <w:bottom w:val="none" w:sz="0" w:space="0" w:color="auto"/>
        <w:right w:val="none" w:sz="0" w:space="0" w:color="auto"/>
      </w:divBdr>
    </w:div>
    <w:div w:id="531918695">
      <w:marLeft w:val="0"/>
      <w:marRight w:val="0"/>
      <w:marTop w:val="0"/>
      <w:marBottom w:val="0"/>
      <w:divBdr>
        <w:top w:val="none" w:sz="0" w:space="0" w:color="auto"/>
        <w:left w:val="none" w:sz="0" w:space="0" w:color="auto"/>
        <w:bottom w:val="none" w:sz="0" w:space="0" w:color="auto"/>
        <w:right w:val="none" w:sz="0" w:space="0" w:color="auto"/>
      </w:divBdr>
    </w:div>
    <w:div w:id="531918696">
      <w:marLeft w:val="0"/>
      <w:marRight w:val="0"/>
      <w:marTop w:val="0"/>
      <w:marBottom w:val="0"/>
      <w:divBdr>
        <w:top w:val="none" w:sz="0" w:space="0" w:color="auto"/>
        <w:left w:val="none" w:sz="0" w:space="0" w:color="auto"/>
        <w:bottom w:val="none" w:sz="0" w:space="0" w:color="auto"/>
        <w:right w:val="none" w:sz="0" w:space="0" w:color="auto"/>
      </w:divBdr>
    </w:div>
    <w:div w:id="531918697">
      <w:marLeft w:val="0"/>
      <w:marRight w:val="0"/>
      <w:marTop w:val="0"/>
      <w:marBottom w:val="0"/>
      <w:divBdr>
        <w:top w:val="none" w:sz="0" w:space="0" w:color="auto"/>
        <w:left w:val="none" w:sz="0" w:space="0" w:color="auto"/>
        <w:bottom w:val="none" w:sz="0" w:space="0" w:color="auto"/>
        <w:right w:val="none" w:sz="0" w:space="0" w:color="auto"/>
      </w:divBdr>
    </w:div>
    <w:div w:id="531918698">
      <w:marLeft w:val="0"/>
      <w:marRight w:val="0"/>
      <w:marTop w:val="0"/>
      <w:marBottom w:val="0"/>
      <w:divBdr>
        <w:top w:val="none" w:sz="0" w:space="0" w:color="auto"/>
        <w:left w:val="none" w:sz="0" w:space="0" w:color="auto"/>
        <w:bottom w:val="none" w:sz="0" w:space="0" w:color="auto"/>
        <w:right w:val="none" w:sz="0" w:space="0" w:color="auto"/>
      </w:divBdr>
    </w:div>
    <w:div w:id="577399526">
      <w:bodyDiv w:val="1"/>
      <w:marLeft w:val="0"/>
      <w:marRight w:val="0"/>
      <w:marTop w:val="0"/>
      <w:marBottom w:val="0"/>
      <w:divBdr>
        <w:top w:val="none" w:sz="0" w:space="0" w:color="auto"/>
        <w:left w:val="none" w:sz="0" w:space="0" w:color="auto"/>
        <w:bottom w:val="none" w:sz="0" w:space="0" w:color="auto"/>
        <w:right w:val="none" w:sz="0" w:space="0" w:color="auto"/>
      </w:divBdr>
    </w:div>
    <w:div w:id="693770415">
      <w:bodyDiv w:val="1"/>
      <w:marLeft w:val="0"/>
      <w:marRight w:val="0"/>
      <w:marTop w:val="0"/>
      <w:marBottom w:val="0"/>
      <w:divBdr>
        <w:top w:val="none" w:sz="0" w:space="0" w:color="auto"/>
        <w:left w:val="none" w:sz="0" w:space="0" w:color="auto"/>
        <w:bottom w:val="none" w:sz="0" w:space="0" w:color="auto"/>
        <w:right w:val="none" w:sz="0" w:space="0" w:color="auto"/>
      </w:divBdr>
    </w:div>
    <w:div w:id="825054211">
      <w:bodyDiv w:val="1"/>
      <w:marLeft w:val="0"/>
      <w:marRight w:val="0"/>
      <w:marTop w:val="0"/>
      <w:marBottom w:val="0"/>
      <w:divBdr>
        <w:top w:val="none" w:sz="0" w:space="0" w:color="auto"/>
        <w:left w:val="none" w:sz="0" w:space="0" w:color="auto"/>
        <w:bottom w:val="none" w:sz="0" w:space="0" w:color="auto"/>
        <w:right w:val="none" w:sz="0" w:space="0" w:color="auto"/>
      </w:divBdr>
    </w:div>
    <w:div w:id="885725691">
      <w:bodyDiv w:val="1"/>
      <w:marLeft w:val="0"/>
      <w:marRight w:val="0"/>
      <w:marTop w:val="0"/>
      <w:marBottom w:val="0"/>
      <w:divBdr>
        <w:top w:val="none" w:sz="0" w:space="0" w:color="auto"/>
        <w:left w:val="none" w:sz="0" w:space="0" w:color="auto"/>
        <w:bottom w:val="none" w:sz="0" w:space="0" w:color="auto"/>
        <w:right w:val="none" w:sz="0" w:space="0" w:color="auto"/>
      </w:divBdr>
    </w:div>
    <w:div w:id="942765389">
      <w:bodyDiv w:val="1"/>
      <w:marLeft w:val="0"/>
      <w:marRight w:val="0"/>
      <w:marTop w:val="0"/>
      <w:marBottom w:val="0"/>
      <w:divBdr>
        <w:top w:val="none" w:sz="0" w:space="0" w:color="auto"/>
        <w:left w:val="none" w:sz="0" w:space="0" w:color="auto"/>
        <w:bottom w:val="none" w:sz="0" w:space="0" w:color="auto"/>
        <w:right w:val="none" w:sz="0" w:space="0" w:color="auto"/>
      </w:divBdr>
    </w:div>
    <w:div w:id="1082995225">
      <w:bodyDiv w:val="1"/>
      <w:marLeft w:val="0"/>
      <w:marRight w:val="0"/>
      <w:marTop w:val="0"/>
      <w:marBottom w:val="0"/>
      <w:divBdr>
        <w:top w:val="none" w:sz="0" w:space="0" w:color="auto"/>
        <w:left w:val="none" w:sz="0" w:space="0" w:color="auto"/>
        <w:bottom w:val="none" w:sz="0" w:space="0" w:color="auto"/>
        <w:right w:val="none" w:sz="0" w:space="0" w:color="auto"/>
      </w:divBdr>
    </w:div>
    <w:div w:id="1579709056">
      <w:bodyDiv w:val="1"/>
      <w:marLeft w:val="0"/>
      <w:marRight w:val="0"/>
      <w:marTop w:val="0"/>
      <w:marBottom w:val="0"/>
      <w:divBdr>
        <w:top w:val="none" w:sz="0" w:space="0" w:color="auto"/>
        <w:left w:val="none" w:sz="0" w:space="0" w:color="auto"/>
        <w:bottom w:val="none" w:sz="0" w:space="0" w:color="auto"/>
        <w:right w:val="none" w:sz="0" w:space="0" w:color="auto"/>
      </w:divBdr>
    </w:div>
    <w:div w:id="1783264083">
      <w:bodyDiv w:val="1"/>
      <w:marLeft w:val="0"/>
      <w:marRight w:val="0"/>
      <w:marTop w:val="0"/>
      <w:marBottom w:val="0"/>
      <w:divBdr>
        <w:top w:val="none" w:sz="0" w:space="0" w:color="auto"/>
        <w:left w:val="none" w:sz="0" w:space="0" w:color="auto"/>
        <w:bottom w:val="none" w:sz="0" w:space="0" w:color="auto"/>
        <w:right w:val="none" w:sz="0" w:space="0" w:color="auto"/>
      </w:divBdr>
    </w:div>
    <w:div w:id="1947080623">
      <w:bodyDiv w:val="1"/>
      <w:marLeft w:val="0"/>
      <w:marRight w:val="0"/>
      <w:marTop w:val="0"/>
      <w:marBottom w:val="0"/>
      <w:divBdr>
        <w:top w:val="none" w:sz="0" w:space="0" w:color="auto"/>
        <w:left w:val="none" w:sz="0" w:space="0" w:color="auto"/>
        <w:bottom w:val="none" w:sz="0" w:space="0" w:color="auto"/>
        <w:right w:val="none" w:sz="0" w:space="0" w:color="auto"/>
      </w:divBdr>
    </w:div>
    <w:div w:id="19652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FA324-820C-44C2-9E93-AB16571A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15</Pages>
  <Words>3631</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1435180</dc:creator>
  <cp:keywords/>
  <dc:description/>
  <cp:lastModifiedBy>Orla Flanagan</cp:lastModifiedBy>
  <cp:revision>119</cp:revision>
  <cp:lastPrinted>2014-10-29T11:00:00Z</cp:lastPrinted>
  <dcterms:created xsi:type="dcterms:W3CDTF">2014-07-02T15:54:00Z</dcterms:created>
  <dcterms:modified xsi:type="dcterms:W3CDTF">2014-12-18T16:27:00Z</dcterms:modified>
</cp:coreProperties>
</file>