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0B1599" w14:textId="77777777" w:rsidR="00DF2A62" w:rsidRPr="000A0D84" w:rsidRDefault="00DF2A62" w:rsidP="00DF2A62">
      <w:pPr>
        <w:pStyle w:val="Title"/>
      </w:pPr>
      <w:r w:rsidRPr="000A0D84">
        <w:t>Earnings in NI</w:t>
      </w:r>
    </w:p>
    <w:p w14:paraId="1353DECB" w14:textId="593B9490" w:rsidR="00DD012F" w:rsidRPr="009107DE" w:rsidRDefault="00DF2A62" w:rsidP="00F77797">
      <w:pPr>
        <w:pStyle w:val="Subtitle"/>
      </w:pPr>
      <w:r>
        <w:t>Sam Quinlan, Analytical Services Department, Department for the Economy</w:t>
      </w:r>
    </w:p>
    <w:p w14:paraId="1396C526" w14:textId="324D9471" w:rsidR="005F1F45" w:rsidRPr="002338E9" w:rsidRDefault="00DF2A62" w:rsidP="00CC59E0">
      <w:pPr>
        <w:pStyle w:val="Date"/>
        <w:tabs>
          <w:tab w:val="left" w:pos="1035"/>
        </w:tabs>
      </w:pPr>
      <w:r>
        <w:t>August 2026</w:t>
      </w:r>
    </w:p>
    <w:p w14:paraId="1A160D83" w14:textId="77777777" w:rsidR="0044704A" w:rsidRPr="0044704A" w:rsidRDefault="00CC59E0" w:rsidP="00F77797">
      <w:pPr>
        <w:pStyle w:val="Heading1"/>
      </w:pPr>
      <w:r>
        <w:t>Summary</w:t>
      </w:r>
    </w:p>
    <w:p w14:paraId="1915681A" w14:textId="75ECAF3D" w:rsidR="00DF2A62" w:rsidRDefault="00DF2A62" w:rsidP="00DF2A62">
      <w:pPr>
        <w:jc w:val="both"/>
        <w:rPr>
          <w:lang w:eastAsia="en-GB"/>
        </w:rPr>
      </w:pPr>
      <w:r>
        <w:t>This article examines earnings in Northern Ireland, drawing on the latest evidence to assess overall pay trends, the prevalence of earnings below the Real Living Wage, and differences by occupation, qualification, age and job mobility. It finds that median weekly earnings rose strongly in 2025 and real pay growth remains below that of nominal wages, although earnings remain below the UK average and Northern Ireland continues to have a relatively high share of low-paid employment. Higher earnings are closely associated with professional and managerial occupations, advanced qualifications and mid-career experience, while changing jobs can support faster wage growth. Overall, the findings point to recent progress alongside a continuing need to improve productivity, skills and access to secure, well-paid Good Jobs across the workforce.</w:t>
      </w:r>
    </w:p>
    <w:p w14:paraId="5B1111BC" w14:textId="2A083CE8" w:rsidR="0044704A" w:rsidRPr="00CC59E0" w:rsidRDefault="008D77F7" w:rsidP="00CC59E0">
      <w:pPr>
        <w:pStyle w:val="Summarytext"/>
      </w:pPr>
      <w:r>
        <w:t xml:space="preserve"> </w:t>
      </w:r>
    </w:p>
    <w:p w14:paraId="38E24D83" w14:textId="77777777" w:rsidR="00335654" w:rsidRDefault="00335654" w:rsidP="00F77797">
      <w:pPr>
        <w:pStyle w:val="Heading1"/>
      </w:pPr>
      <w:r>
        <w:t>Introduction</w:t>
      </w:r>
    </w:p>
    <w:p w14:paraId="22EAFC41" w14:textId="77777777" w:rsidR="00DF2A62" w:rsidRDefault="00DF2A62" w:rsidP="00DF2A62">
      <w:pPr>
        <w:jc w:val="both"/>
      </w:pPr>
      <w:r>
        <w:t xml:space="preserve">Earnings are a central determinant of labour market outcomes, </w:t>
      </w:r>
      <w:r w:rsidRPr="0064110E">
        <w:t xml:space="preserve">influencing individuals’ decisions to enter, remain in, or leave employment, while also </w:t>
      </w:r>
      <w:r w:rsidRPr="001647EC">
        <w:t>contributing to patterns of recruitment, retention and productivity across the workforce.</w:t>
      </w:r>
      <w:r>
        <w:t xml:space="preserve"> They also play a key role in household financial resilience and wider economic well-being. In Northern Ireland, earnings vary considerably across the workforce, reflecting </w:t>
      </w:r>
      <w:r w:rsidRPr="001647EC">
        <w:t>differences in industry, occupation and skill level</w:t>
      </w:r>
      <w:r>
        <w:t xml:space="preserve">, with a variation also evident in the proportion of employees earning at least the Real Living Wage (RLW). </w:t>
      </w:r>
    </w:p>
    <w:p w14:paraId="2BDC06C2" w14:textId="77777777" w:rsidR="00DF2A62" w:rsidRDefault="00DF2A62" w:rsidP="00DF2A62">
      <w:pPr>
        <w:jc w:val="both"/>
      </w:pPr>
      <w:r>
        <w:t xml:space="preserve">Pay levels shape the capacity of households to meet essential living costs, including food, housing and utility bills, </w:t>
      </w:r>
      <w:proofErr w:type="gramStart"/>
      <w:r>
        <w:t>and also</w:t>
      </w:r>
      <w:proofErr w:type="gramEnd"/>
      <w:r>
        <w:t xml:space="preserve"> influence overall living standards and financial security.  In addition, earnings affect broader economic activity through their impact on consumer spending, although the extent of this impact will depend on prevailing levels of confidence, disposable income and wider economic conditions. </w:t>
      </w:r>
    </w:p>
    <w:p w14:paraId="32FBFC58" w14:textId="77777777" w:rsidR="00DF2A62" w:rsidRDefault="00DF2A62" w:rsidP="00DF2A62">
      <w:pPr>
        <w:jc w:val="both"/>
      </w:pPr>
      <w:r w:rsidRPr="00FF2BDB">
        <w:t>Increasing the proportion of working-age people in good jobs is a central ambition within the Department for the Economy’s Economic Vision</w:t>
      </w:r>
      <w:r>
        <w:t xml:space="preserve">.  </w:t>
      </w:r>
      <w:r w:rsidRPr="000A0D84">
        <w:t xml:space="preserve">A key part of this </w:t>
      </w:r>
      <w:r>
        <w:t xml:space="preserve">ambition </w:t>
      </w:r>
      <w:r w:rsidRPr="000A0D84">
        <w:t>is</w:t>
      </w:r>
      <w:r>
        <w:t xml:space="preserve"> ensuring that work provides a sufficient income to </w:t>
      </w:r>
      <w:r w:rsidRPr="000A0D84">
        <w:t>support a good standard of living</w:t>
      </w:r>
      <w:r>
        <w:t xml:space="preserve">.  </w:t>
      </w:r>
      <w:r w:rsidRPr="0019437A">
        <w:t>Pay levels are therefore a key indicator of job quality, reflecting the extent to which employment enables individuals and households to meet everyday living costs and participate fully in society.</w:t>
      </w:r>
    </w:p>
    <w:p w14:paraId="50591173" w14:textId="59C89F03" w:rsidR="001F0DD5" w:rsidRDefault="00DF2A62" w:rsidP="002C136A">
      <w:pPr>
        <w:jc w:val="both"/>
      </w:pPr>
      <w:r w:rsidRPr="0019437A">
        <w:t xml:space="preserve"> In this context, the commitment to earning at least the Real Living Wage (RLW) is a</w:t>
      </w:r>
      <w:r>
        <w:t xml:space="preserve"> key commitment for the Department and is therefore a</w:t>
      </w:r>
      <w:r w:rsidRPr="0019437A">
        <w:t xml:space="preserve"> central component of the Good Jobs </w:t>
      </w:r>
      <w:r>
        <w:t>measure</w:t>
      </w:r>
      <w:r w:rsidRPr="0019437A">
        <w:t xml:space="preserve"> developed by the Department in </w:t>
      </w:r>
      <w:r>
        <w:lastRenderedPageBreak/>
        <w:t>conjunction</w:t>
      </w:r>
      <w:r w:rsidRPr="0019437A">
        <w:t xml:space="preserve"> with NISRA</w:t>
      </w:r>
      <w:r>
        <w:t xml:space="preserve">.  </w:t>
      </w:r>
      <w:r w:rsidRPr="000A0D84">
        <w:t xml:space="preserve">This article will </w:t>
      </w:r>
      <w:r>
        <w:t>examine</w:t>
      </w:r>
      <w:r w:rsidRPr="000A0D84">
        <w:t xml:space="preserve"> earnings </w:t>
      </w:r>
      <w:r>
        <w:t xml:space="preserve">in NI, exploring the factors that </w:t>
      </w:r>
      <w:r w:rsidRPr="000A0D84">
        <w:t xml:space="preserve">influence </w:t>
      </w:r>
      <w:r>
        <w:t>pay levels</w:t>
      </w:r>
      <w:r w:rsidRPr="000A0D84">
        <w:t xml:space="preserve"> and the impacts </w:t>
      </w:r>
      <w:r>
        <w:t xml:space="preserve">that </w:t>
      </w:r>
      <w:r w:rsidRPr="000A0D84">
        <w:t xml:space="preserve">this can have on society and the wider </w:t>
      </w:r>
      <w:proofErr w:type="gramStart"/>
      <w:r w:rsidRPr="000A0D84">
        <w:t>economy as a whole</w:t>
      </w:r>
      <w:proofErr w:type="gramEnd"/>
      <w:r w:rsidRPr="000A0D84">
        <w:t>.</w:t>
      </w:r>
    </w:p>
    <w:p w14:paraId="5E0BDE3A" w14:textId="56F000BC" w:rsidR="00DF2A62" w:rsidRPr="000A0D84" w:rsidRDefault="00DF2A62" w:rsidP="002C136A">
      <w:pPr>
        <w:pStyle w:val="Heading1"/>
        <w:jc w:val="both"/>
      </w:pPr>
      <w:r w:rsidRPr="000A0D84">
        <w:t>Overview</w:t>
      </w:r>
    </w:p>
    <w:p w14:paraId="0859436C" w14:textId="77777777" w:rsidR="00DF2A62" w:rsidRDefault="00DF2A62" w:rsidP="002C136A">
      <w:pPr>
        <w:jc w:val="both"/>
      </w:pPr>
      <w:r w:rsidRPr="000A0D84">
        <w:t>NISRA’s Annual Survey of Hours and Earnings (ASHE)</w:t>
      </w:r>
      <w:r>
        <w:rPr>
          <w:rStyle w:val="EndnoteReference"/>
        </w:rPr>
        <w:endnoteReference w:id="2"/>
      </w:r>
      <w:r w:rsidRPr="000A0D84">
        <w:t xml:space="preserve"> </w:t>
      </w:r>
      <w:r>
        <w:t xml:space="preserve">is the primary source of data on </w:t>
      </w:r>
      <w:r w:rsidRPr="000A0D84">
        <w:t>employee earnings in NI</w:t>
      </w:r>
      <w:r>
        <w:t>, providing detailed breakdowns of pay across the workforce</w:t>
      </w:r>
      <w:r w:rsidRPr="000A0D84">
        <w:t xml:space="preserve">. In NI, the median gross weekly earnings for full-time employees (includes overtime) (“weekly earnings”) were £713 in April 2025, </w:t>
      </w:r>
      <w:r>
        <w:t xml:space="preserve">which represents </w:t>
      </w:r>
      <w:r w:rsidRPr="000A0D84">
        <w:t xml:space="preserve">an </w:t>
      </w:r>
      <w:r>
        <w:t xml:space="preserve">annual </w:t>
      </w:r>
      <w:r w:rsidRPr="000A0D84">
        <w:t xml:space="preserve">increase of 7.4% from </w:t>
      </w:r>
      <w:r>
        <w:t>2024</w:t>
      </w:r>
      <w:r w:rsidRPr="000A0D84">
        <w:t xml:space="preserve">. When we exclude overtime, </w:t>
      </w:r>
      <w:r>
        <w:t>the weekly earnings are</w:t>
      </w:r>
      <w:r w:rsidRPr="000A0D84">
        <w:t xml:space="preserve"> £684. </w:t>
      </w:r>
    </w:p>
    <w:p w14:paraId="637C2C5F" w14:textId="3B008AD0" w:rsidR="00DF2A62" w:rsidRDefault="00DF2A62" w:rsidP="002C136A">
      <w:pPr>
        <w:jc w:val="both"/>
      </w:pPr>
      <w:r>
        <w:t xml:space="preserve">Over the last twenty years, </w:t>
      </w:r>
      <w:r w:rsidRPr="000A0D84">
        <w:t xml:space="preserve">NI </w:t>
      </w:r>
      <w:r>
        <w:t xml:space="preserve">has </w:t>
      </w:r>
      <w:r w:rsidRPr="000A0D84">
        <w:t>consistently ha</w:t>
      </w:r>
      <w:r>
        <w:t>d</w:t>
      </w:r>
      <w:r w:rsidRPr="000A0D84">
        <w:t xml:space="preserve"> lower earnings than the UK </w:t>
      </w:r>
      <w:r>
        <w:t>average</w:t>
      </w:r>
      <w:r w:rsidRPr="000A0D84">
        <w:t xml:space="preserve">. </w:t>
      </w:r>
      <w:r>
        <w:t xml:space="preserve">The latest data from 2025 highlights this continued disparity with </w:t>
      </w:r>
      <w:r w:rsidRPr="000A0D84">
        <w:t>UK</w:t>
      </w:r>
      <w:r>
        <w:t xml:space="preserve"> </w:t>
      </w:r>
      <w:r w:rsidRPr="000A0D84">
        <w:t>weekly earnings sit</w:t>
      </w:r>
      <w:r>
        <w:t>ting</w:t>
      </w:r>
      <w:r w:rsidRPr="000A0D84">
        <w:t xml:space="preserve"> at £767, a 5.8% </w:t>
      </w:r>
      <w:r>
        <w:t xml:space="preserve">annual </w:t>
      </w:r>
      <w:r w:rsidRPr="000A0D84">
        <w:t>increase</w:t>
      </w:r>
      <w:r>
        <w:t xml:space="preserve"> from </w:t>
      </w:r>
      <w:r w:rsidRPr="000A0D84">
        <w:t>April 2024</w:t>
      </w:r>
      <w:r>
        <w:t xml:space="preserve"> and approximately 7.5% higher than weekly earnings in NI</w:t>
      </w:r>
      <w:r w:rsidR="00C36552">
        <w:t>.</w:t>
      </w:r>
    </w:p>
    <w:p w14:paraId="2DBF23CF" w14:textId="55C6906C" w:rsidR="00DF2A62" w:rsidRPr="00CD7A88" w:rsidRDefault="00DF2A62" w:rsidP="002C136A">
      <w:pPr>
        <w:jc w:val="both"/>
      </w:pPr>
      <w:r>
        <w:t>The increase in w</w:t>
      </w:r>
      <w:r w:rsidRPr="000A0D84">
        <w:t>eekly earnings in 2025</w:t>
      </w:r>
      <w:r>
        <w:t xml:space="preserve"> marked</w:t>
      </w:r>
      <w:r w:rsidRPr="000A0D84">
        <w:t xml:space="preserve"> the fifth consecutive </w:t>
      </w:r>
      <w:r>
        <w:t xml:space="preserve">annual </w:t>
      </w:r>
      <w:r w:rsidRPr="000A0D84">
        <w:t xml:space="preserve">increase </w:t>
      </w:r>
      <w:r>
        <w:t>in</w:t>
      </w:r>
      <w:r w:rsidRPr="000A0D84">
        <w:t xml:space="preserve"> NI and </w:t>
      </w:r>
      <w:r>
        <w:t xml:space="preserve">represented </w:t>
      </w:r>
      <w:r w:rsidRPr="000A0D84">
        <w:t>the second highest</w:t>
      </w:r>
      <w:r>
        <w:t xml:space="preserve"> growth rate recorded</w:t>
      </w:r>
      <w:r w:rsidRPr="000A0D84">
        <w:t xml:space="preserve"> for NI. </w:t>
      </w:r>
      <w:r w:rsidRPr="000433B3">
        <w:t xml:space="preserve">While earnings in </w:t>
      </w:r>
      <w:r>
        <w:t>NI</w:t>
      </w:r>
      <w:r w:rsidRPr="000433B3">
        <w:t xml:space="preserve"> remained below the UK average in 2025, it experienced the largest annual increase in weekly earnings across the UK's 12 regions (including overtime). </w:t>
      </w:r>
      <w:r w:rsidRPr="00CD7A88">
        <w:t xml:space="preserve">Despite this growth, NI was still the fifth lowest earning region, behind London (£958) but ahead of the </w:t>
      </w:r>
      <w:proofErr w:type="gramStart"/>
      <w:r w:rsidRPr="00CD7A88">
        <w:t>North East</w:t>
      </w:r>
      <w:proofErr w:type="gramEnd"/>
      <w:r w:rsidRPr="00CD7A88">
        <w:t xml:space="preserve"> (£691). Overall, NI has seen a strong increase in wages, rising by approximately 85% (£16 per year on average) over the last 20 years. The growth trend is broadly similar to that of the UK which has seen pay growth of circa 78% over the same </w:t>
      </w:r>
      <w:proofErr w:type="gramStart"/>
      <w:r w:rsidRPr="00CD7A88">
        <w:t>time period</w:t>
      </w:r>
      <w:proofErr w:type="gramEnd"/>
      <w:r w:rsidRPr="00CD7A88">
        <w:t xml:space="preserve">.  Post pandemic, NI saw the largest annual increase of 8.7% in 2021. Above average growth has continued for the following years. However, it is important to note the context around the timing of public pay rises in NI, which have had an impact on the annual percentage increases displayed. </w:t>
      </w:r>
    </w:p>
    <w:p w14:paraId="18CD9A3D" w14:textId="77777777" w:rsidR="00DF2A62" w:rsidRPr="000A0D84" w:rsidRDefault="00DF2A62" w:rsidP="002C136A">
      <w:pPr>
        <w:jc w:val="both"/>
      </w:pPr>
      <w:r w:rsidRPr="000A0D84">
        <w:t xml:space="preserve">The Real Living Wage (RLW) is an hourly rate set by the Living Wage Foundation and is independently calculated by economists at the Resolution Foundation on their behalf. This wage is designed to reflect the cost of living to ensure that employees can meet their basic needs. Unlike the minimum wage, the RLW is not mandated but voluntary, with nearly </w:t>
      </w:r>
      <w:r>
        <w:t>17,000</w:t>
      </w:r>
      <w:r w:rsidRPr="000A0D84">
        <w:t xml:space="preserve"> employers in the UK paying the RLW and over 200 employers in NI. Looking at 2025 RLW data, the rates are £13.85 for London and £12.60 for the rest of the UK.</w:t>
      </w:r>
    </w:p>
    <w:p w14:paraId="3AE8E92E" w14:textId="77777777" w:rsidR="00581CA3" w:rsidRDefault="00000000">
      <w:pPr>
        <w:jc w:val="both"/>
      </w:pPr>
      <w:r w:rsidRPr="000A0D84">
        <w:t>Generally, the proportion of employees in NI earning below the RLW has declined</w:t>
      </w:r>
      <w:r>
        <w:t xml:space="preserve"> (Figure 1)</w:t>
      </w:r>
      <w:r w:rsidRPr="000A0D84">
        <w:t>. The proportion currently sits at 17.3%, a decline of almost 9pps from 26.2% in 2020. There were</w:t>
      </w:r>
      <w:r>
        <w:t xml:space="preserve"> marginal</w:t>
      </w:r>
      <w:r w:rsidRPr="000A0D84">
        <w:t xml:space="preserve"> increases in the proportion earning below the RLW in 2023 and 2024</w:t>
      </w:r>
      <w:r w:rsidR="00A25E20" w:rsidRPr="00A25E20">
        <w:t>;</w:t>
      </w:r>
      <w:r w:rsidRPr="000A0D84">
        <w:t xml:space="preserve"> </w:t>
      </w:r>
      <w:r>
        <w:t>however</w:t>
      </w:r>
      <w:r w:rsidR="00A25E20" w:rsidRPr="00A25E20">
        <w:t>,</w:t>
      </w:r>
      <w:r>
        <w:t xml:space="preserve"> </w:t>
      </w:r>
      <w:r w:rsidRPr="000A0D84">
        <w:t xml:space="preserve">the proportion has now returned to trend, falling 2.8pps annually. </w:t>
      </w:r>
      <w:r w:rsidR="00A25E20" w:rsidRPr="00A25E20">
        <w:t>It</w:t>
      </w:r>
      <w:r>
        <w:t xml:space="preserve"> is important to consider </w:t>
      </w:r>
      <w:r w:rsidR="00A25E20" w:rsidRPr="00A25E20">
        <w:t xml:space="preserve">this in </w:t>
      </w:r>
      <w:r>
        <w:t xml:space="preserve">the context </w:t>
      </w:r>
      <w:r w:rsidR="00A25E20" w:rsidRPr="00A25E20">
        <w:t xml:space="preserve">of </w:t>
      </w:r>
      <w:r>
        <w:t xml:space="preserve">the </w:t>
      </w:r>
      <w:r w:rsidR="00A25E20" w:rsidRPr="00A25E20">
        <w:t xml:space="preserve">relationship between the </w:t>
      </w:r>
      <w:r>
        <w:t>RLW and the National Living Wage (NLW). The NLW applies to workers aged 21 and over and is the legal minimum hourly rate set by government</w:t>
      </w:r>
      <w:r w:rsidR="00A25E20" w:rsidRPr="00A25E20">
        <w:t>;</w:t>
      </w:r>
      <w:r>
        <w:t xml:space="preserve"> it currently </w:t>
      </w:r>
      <w:r w:rsidR="00A25E20" w:rsidRPr="00A25E20">
        <w:t>stands</w:t>
      </w:r>
      <w:r>
        <w:t xml:space="preserve"> at £12.71 as of April 2026 and </w:t>
      </w:r>
      <w:r w:rsidR="00A25E20" w:rsidRPr="00A25E20">
        <w:t xml:space="preserve">has </w:t>
      </w:r>
      <w:r>
        <w:t xml:space="preserve">no London weighting. For comparison with the 2025 RLW data, the equivalent NLW was £11.44 </w:t>
      </w:r>
      <w:r w:rsidR="00A25E20" w:rsidRPr="00A25E20">
        <w:t>from</w:t>
      </w:r>
      <w:r>
        <w:t xml:space="preserve"> April 2024 to March 2025 and £12.21 </w:t>
      </w:r>
      <w:r w:rsidR="00A25E20" w:rsidRPr="00A25E20">
        <w:t>from</w:t>
      </w:r>
      <w:r>
        <w:t xml:space="preserve"> April 2025 to March 2026. Despite the RLW remaining higher than the NLW, the gap between the two rates has narrowed to £0.74 per hour. </w:t>
      </w:r>
      <w:r w:rsidRPr="008C5FBC">
        <w:t xml:space="preserve">Although </w:t>
      </w:r>
      <w:r w:rsidRPr="008C5FBC">
        <w:lastRenderedPageBreak/>
        <w:t>successive increases in the NLW have narrowed the gap, the RLW remains higher because it is based directly on the cost of living rather than acting solely as a statutory wage floor.</w:t>
      </w:r>
      <w:r>
        <w:t xml:space="preserve"> </w:t>
      </w:r>
      <w:r w:rsidR="00A25E20" w:rsidRPr="00A25E20">
        <w:t xml:space="preserve">As the gap narrows, a greater proportion of workers are likely to earn at least the RLW, as employers paying at or close to the statutory minimum require smaller wage increases—or </w:t>
      </w:r>
      <w:proofErr w:type="gramStart"/>
      <w:r w:rsidR="00A25E20" w:rsidRPr="00A25E20">
        <w:t>none at all</w:t>
      </w:r>
      <w:proofErr w:type="gramEnd"/>
      <w:r w:rsidR="00A25E20" w:rsidRPr="00A25E20">
        <w:t>—to reach the RLW threshold.</w:t>
      </w:r>
    </w:p>
    <w:p w14:paraId="22A2C811" w14:textId="11D07536" w:rsidR="00DF2A62" w:rsidRPr="000A0D84" w:rsidRDefault="00DF2A62" w:rsidP="002C136A">
      <w:pPr>
        <w:jc w:val="both"/>
      </w:pPr>
    </w:p>
    <w:p w14:paraId="59E1E69A" w14:textId="77777777" w:rsidR="00DF2A62" w:rsidRPr="000A0D84" w:rsidRDefault="00DF2A62" w:rsidP="00DF2A62">
      <w:pPr>
        <w:pStyle w:val="Caption"/>
      </w:pPr>
      <w:r w:rsidRPr="000A0D84">
        <w:t xml:space="preserve">Figure </w:t>
      </w:r>
      <w:fldSimple w:instr=" SEQ Figure \* ARABIC ">
        <w:r>
          <w:rPr>
            <w:noProof/>
          </w:rPr>
          <w:t>1</w:t>
        </w:r>
      </w:fldSimple>
      <w:r w:rsidRPr="000A0D84">
        <w:t>: Proportion of Employee Jobs Earning Below the RLW</w:t>
      </w:r>
    </w:p>
    <w:p w14:paraId="4A588526" w14:textId="77777777" w:rsidR="00DF2A62" w:rsidRPr="000A0D84" w:rsidRDefault="00DF2A62" w:rsidP="00DF2A62">
      <w:r w:rsidRPr="000A0D84">
        <w:rPr>
          <w:noProof/>
        </w:rPr>
        <w:drawing>
          <wp:inline distT="0" distB="0" distL="0" distR="0" wp14:anchorId="6F38D33B" wp14:editId="7B89E0F0">
            <wp:extent cx="5013325" cy="2921000"/>
            <wp:effectExtent l="0" t="0" r="0" b="0"/>
            <wp:docPr id="637218701" name="Chart 1" descr="Line chart showing the proportion of employee jobs in Northern Ireland earning below the Real Living Wage. The proportion generally falls from 26.2% in 2020 to 17.3% in 2025, despite temporary increases in 2023 and 2024; the 2025 figure is 2.8 percentage points lower than in 2024.">
              <a:extLst xmlns:a="http://schemas.openxmlformats.org/drawingml/2006/main">
                <a:ext uri="{FF2B5EF4-FFF2-40B4-BE49-F238E27FC236}">
                  <a16:creationId xmlns:a16="http://schemas.microsoft.com/office/drawing/2014/main" id="{62AF0E8F-D3D0-9602-4D6C-EA76AEFE07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0F8EF87" w14:textId="77777777" w:rsidR="00DF2A62" w:rsidRPr="000A0D84" w:rsidRDefault="00DF2A62" w:rsidP="00DF2A62">
      <w:r w:rsidRPr="000A0D84">
        <w:t>Source: NISRA, ASHE, 2025</w:t>
      </w:r>
    </w:p>
    <w:p w14:paraId="798AD7DE" w14:textId="63D623D8" w:rsidR="00DF2A62" w:rsidRDefault="00DF2A62" w:rsidP="00DF2A62">
      <w:pPr>
        <w:jc w:val="both"/>
      </w:pPr>
      <w:r w:rsidRPr="000A0D84">
        <w:t xml:space="preserve">Northern Ireland remains among the UK regions with the highest proportion of employees earning below the RLW, second only to the </w:t>
      </w:r>
      <w:proofErr w:type="gramStart"/>
      <w:r w:rsidRPr="000A0D84">
        <w:t>North East</w:t>
      </w:r>
      <w:proofErr w:type="gramEnd"/>
      <w:r w:rsidRPr="000A0D84">
        <w:t xml:space="preserve"> (18.8%). An annual change has seen Northern Ireland move up one place compared to its UK counterparts and now sits in 11</w:t>
      </w:r>
      <w:r w:rsidRPr="000A0D84">
        <w:rPr>
          <w:vertAlign w:val="superscript"/>
        </w:rPr>
        <w:t>th</w:t>
      </w:r>
      <w:r w:rsidRPr="000A0D84">
        <w:t xml:space="preserve"> place. NI remains 6pps behind the leading region, Scotland, </w:t>
      </w:r>
      <w:r>
        <w:t xml:space="preserve">although </w:t>
      </w:r>
      <w:r w:rsidRPr="000A0D84">
        <w:t>the gap between these nations has narrowed</w:t>
      </w:r>
      <w:r>
        <w:t xml:space="preserve"> over time (Figure 2)</w:t>
      </w:r>
      <w:r w:rsidRPr="000A0D84">
        <w:t xml:space="preserve">. </w:t>
      </w:r>
    </w:p>
    <w:p w14:paraId="5E8865EB" w14:textId="77777777" w:rsidR="00DF2A62" w:rsidRPr="000A0D84" w:rsidRDefault="00DF2A62" w:rsidP="00DF2A62">
      <w:pPr>
        <w:pStyle w:val="Caption"/>
      </w:pPr>
      <w:r w:rsidRPr="000A0D84">
        <w:lastRenderedPageBreak/>
        <w:t xml:space="preserve">Figure </w:t>
      </w:r>
      <w:fldSimple w:instr=" SEQ Figure \* ARABIC ">
        <w:r>
          <w:rPr>
            <w:noProof/>
          </w:rPr>
          <w:t>2</w:t>
        </w:r>
      </w:fldSimple>
      <w:r w:rsidRPr="000A0D84">
        <w:t>: Proportion of Employee Jobs below the RLW by Region, 2025</w:t>
      </w:r>
    </w:p>
    <w:p w14:paraId="472866A6" w14:textId="19FD8E7A" w:rsidR="00DF2A62" w:rsidRDefault="00B83B73" w:rsidP="00DF2A62">
      <w:r>
        <w:rPr>
          <w:noProof/>
        </w:rPr>
        <w:drawing>
          <wp:inline distT="0" distB="0" distL="0" distR="0" wp14:anchorId="2F4FAAD3" wp14:editId="2023B68E">
            <wp:extent cx="4740276" cy="3117850"/>
            <wp:effectExtent l="0" t="0" r="3175" b="6350"/>
            <wp:docPr id="1209596485" name="Chart 1">
              <a:extLst xmlns:a="http://schemas.openxmlformats.org/drawingml/2006/main">
                <a:ext uri="{FF2B5EF4-FFF2-40B4-BE49-F238E27FC236}">
                  <a16:creationId xmlns:a16="http://schemas.microsoft.com/office/drawing/2014/main" id="{61272049-502A-33C3-98A9-AB67A470EA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BAD565" w14:textId="04E7AEC5" w:rsidR="00DF2A62" w:rsidRPr="000A0D84" w:rsidRDefault="00DF2A62" w:rsidP="00DF2A62">
      <w:r w:rsidRPr="000A0D84">
        <w:t>Source: NISRA, ASHE, 2025</w:t>
      </w:r>
    </w:p>
    <w:p w14:paraId="6799422E" w14:textId="77777777" w:rsidR="00DF2A62" w:rsidRPr="000A0D84" w:rsidRDefault="00DF2A62" w:rsidP="00DF2A62">
      <w:pPr>
        <w:jc w:val="both"/>
      </w:pPr>
      <w:r w:rsidRPr="000A0D84">
        <w:t>NI and the UK follow broadly similar trends in terms of the fall in those earning below the RLW, with NI consistently having a higher proportion than the UK overall. However, the</w:t>
      </w:r>
      <w:r>
        <w:t xml:space="preserve"> UK and NI</w:t>
      </w:r>
      <w:r w:rsidRPr="000A0D84">
        <w:t xml:space="preserve"> gap is narrowing, with the smallest gap in 2022 of 2.1pps, when both were at their lowest levels of earning below the RLW. The gap has since marginally widened to 2</w:t>
      </w:r>
      <w:r>
        <w:t>.</w:t>
      </w:r>
      <w:r w:rsidRPr="000A0D84">
        <w:t xml:space="preserve">7pps in 2025 </w:t>
      </w:r>
      <w:r>
        <w:t xml:space="preserve">however the difference </w:t>
      </w:r>
      <w:r w:rsidRPr="000A0D84">
        <w:t>remains narrower than in 2014</w:t>
      </w:r>
      <w:r>
        <w:t xml:space="preserve"> (5.3pps)</w:t>
      </w:r>
      <w:r w:rsidRPr="000A0D84">
        <w:t>.</w:t>
      </w:r>
    </w:p>
    <w:p w14:paraId="7D8CCB47" w14:textId="77777777" w:rsidR="00DF2A62" w:rsidRPr="000A0D84" w:rsidRDefault="00DF2A62" w:rsidP="00DF2A62">
      <w:pPr>
        <w:jc w:val="both"/>
      </w:pPr>
      <w:r w:rsidRPr="000A0D84">
        <w:t>Research from the Living Wage Foundation highlights how “</w:t>
      </w:r>
      <w:r w:rsidRPr="00F02340">
        <w:rPr>
          <w:i/>
          <w:iCs/>
        </w:rPr>
        <w:t xml:space="preserve">if half of them </w:t>
      </w:r>
      <w:r w:rsidRPr="00F02340">
        <w:t>[those earning below RLW]</w:t>
      </w:r>
      <w:r w:rsidRPr="00F02340">
        <w:rPr>
          <w:i/>
          <w:iCs/>
        </w:rPr>
        <w:t xml:space="preserve"> were given a pay rise to the real Living Wage, the UK economy could see more than £1.6 billion added in 2026 through additional spending.</w:t>
      </w:r>
      <w:r w:rsidRPr="00F02340">
        <w:t>”</w:t>
      </w:r>
      <w:r w:rsidRPr="000A0D84">
        <w:t xml:space="preserve"> For NI specifically, we would see a dividend of £56 million in 2026</w:t>
      </w:r>
      <w:r>
        <w:t>,</w:t>
      </w:r>
      <w:r w:rsidRPr="000A0D84">
        <w:t xml:space="preserve"> </w:t>
      </w:r>
      <w:r>
        <w:t>due to</w:t>
      </w:r>
      <w:r w:rsidRPr="000A0D84">
        <w:t xml:space="preserve"> the varying boost based on the level of low paid jobs in the region.</w:t>
      </w:r>
      <w:r>
        <w:rPr>
          <w:rStyle w:val="EndnoteReference"/>
        </w:rPr>
        <w:endnoteReference w:id="3"/>
      </w:r>
    </w:p>
    <w:p w14:paraId="1D5F6A91" w14:textId="77777777" w:rsidR="00DF2A62" w:rsidRPr="000A0D84" w:rsidRDefault="00DF2A62" w:rsidP="00DF2A62">
      <w:pPr>
        <w:jc w:val="both"/>
      </w:pPr>
      <w:r w:rsidRPr="000A0D84">
        <w:t>Earning at least the RLW is a key indicator used to calculate the Good Jobs measure</w:t>
      </w:r>
      <w:r>
        <w:t xml:space="preserve"> for NI</w:t>
      </w:r>
      <w:r w:rsidRPr="000A0D84">
        <w:t>.</w:t>
      </w:r>
      <w:r>
        <w:t xml:space="preserve"> </w:t>
      </w:r>
      <w:r w:rsidRPr="000A0D84">
        <w:t>Increasing the</w:t>
      </w:r>
      <w:r>
        <w:t xml:space="preserve"> proportion of working age people in</w:t>
      </w:r>
      <w:r w:rsidRPr="000A0D84">
        <w:t xml:space="preserve"> Good Jobs</w:t>
      </w:r>
      <w:r>
        <w:t xml:space="preserve"> is</w:t>
      </w:r>
      <w:r w:rsidRPr="000A0D84">
        <w:t xml:space="preserve"> one of the Department for the Economy’s key </w:t>
      </w:r>
      <w:r>
        <w:t xml:space="preserve">objectives, </w:t>
      </w:r>
      <w:r w:rsidRPr="000A0D84">
        <w:t>and the RLW is one</w:t>
      </w:r>
      <w:r>
        <w:t xml:space="preserve"> mechanism that can help support this ambition </w:t>
      </w:r>
      <w:r w:rsidRPr="00B46A7A">
        <w:t xml:space="preserve">by improving </w:t>
      </w:r>
      <w:r>
        <w:t xml:space="preserve">earnings </w:t>
      </w:r>
      <w:r w:rsidRPr="00B46A7A">
        <w:t>and the overall quality of employment.</w:t>
      </w:r>
      <w:r w:rsidRPr="000A0D84">
        <w:t xml:space="preserve"> Research</w:t>
      </w:r>
      <w:r w:rsidRPr="000A0D84">
        <w:rPr>
          <w:rStyle w:val="EndnoteReference"/>
        </w:rPr>
        <w:endnoteReference w:id="4"/>
      </w:r>
      <w:r w:rsidRPr="000A0D84">
        <w:t xml:space="preserve"> </w:t>
      </w:r>
      <w:r>
        <w:t xml:space="preserve">from the Living Wage Foundation </w:t>
      </w:r>
      <w:r w:rsidRPr="000A0D84">
        <w:t xml:space="preserve">has highlighted the benefits to both the employer and the employee of paying the RLW. </w:t>
      </w:r>
      <w:r>
        <w:t>The research found that a</w:t>
      </w:r>
      <w:r w:rsidRPr="000A0D84">
        <w:t xml:space="preserve">lmost all employers reported benefits to their business </w:t>
      </w:r>
      <w:proofErr w:type="gramStart"/>
      <w:r w:rsidRPr="000A0D84">
        <w:t>as a result of</w:t>
      </w:r>
      <w:proofErr w:type="gramEnd"/>
      <w:r w:rsidRPr="000A0D84">
        <w:t xml:space="preserve"> accrediting with the Living Wage Foundation, including boosts to reputation and improved HR outcomes. The research highlighted how “</w:t>
      </w:r>
      <w:r w:rsidRPr="000A0D84">
        <w:rPr>
          <w:i/>
          <w:iCs/>
        </w:rPr>
        <w:t>in 63 per cent of cases, both employers and employees reported benefits, and employers reported more significant gains when a higher proportion of their workforce received wage increases, suggesting alignment between business and social goals</w:t>
      </w:r>
      <w:r w:rsidRPr="000A0D84">
        <w:t xml:space="preserve">.” </w:t>
      </w:r>
      <w:r>
        <w:t>I</w:t>
      </w:r>
      <w:r w:rsidRPr="000A0D84">
        <w:t xml:space="preserve">t </w:t>
      </w:r>
      <w:r>
        <w:t xml:space="preserve">should be </w:t>
      </w:r>
      <w:r w:rsidRPr="000A0D84">
        <w:t>note</w:t>
      </w:r>
      <w:r>
        <w:t>d</w:t>
      </w:r>
      <w:r w:rsidRPr="000A0D84">
        <w:t xml:space="preserve"> that positive impacts noted by business are modest, </w:t>
      </w:r>
      <w:r>
        <w:t>however,</w:t>
      </w:r>
      <w:r w:rsidRPr="000A0D84">
        <w:t xml:space="preserve"> only 1-3% of businesses report negative effects of implementing the RLW. </w:t>
      </w:r>
    </w:p>
    <w:p w14:paraId="2AD8510C" w14:textId="689021E9" w:rsidR="00DF2A62" w:rsidRDefault="00DF2A62" w:rsidP="00D472AC">
      <w:pPr>
        <w:pStyle w:val="Heading1"/>
        <w:jc w:val="both"/>
      </w:pPr>
      <w:r w:rsidRPr="000A0D84">
        <w:lastRenderedPageBreak/>
        <w:t>Breakdown of Median Earnings by Occupation and the link to Good Jobs</w:t>
      </w:r>
    </w:p>
    <w:p w14:paraId="47AA0736" w14:textId="77777777" w:rsidR="00DF2A62" w:rsidRDefault="00DF2A62" w:rsidP="00DF2A62">
      <w:pPr>
        <w:jc w:val="both"/>
      </w:pPr>
      <w:r w:rsidRPr="000A0D84">
        <w:t>Employee earnings can</w:t>
      </w:r>
      <w:r>
        <w:t xml:space="preserve"> vary significantly </w:t>
      </w:r>
      <w:r w:rsidRPr="00812B89">
        <w:t>depending on the occupation in which an individual is employed.</w:t>
      </w:r>
      <w:r>
        <w:rPr>
          <w:rStyle w:val="EndnoteReference"/>
        </w:rPr>
        <w:endnoteReference w:id="5"/>
      </w:r>
      <w:r w:rsidRPr="00812B89">
        <w:t xml:space="preserve"> Different jobs require varying levels of skills, qualifications, experience and responsibility, which are often reflected in pay levels. As a result, earnings can differ considerably across occupations, with employees in higher-skilled or more specialised roles typically earning more than those in lower-skilled occupations.</w:t>
      </w:r>
      <w:r>
        <w:t xml:space="preserve">  </w:t>
      </w:r>
    </w:p>
    <w:p w14:paraId="60E371E4" w14:textId="69E22A6D" w:rsidR="00DF2A62" w:rsidRPr="000A0D84" w:rsidRDefault="00DF2A62" w:rsidP="00DF2A62">
      <w:pPr>
        <w:jc w:val="both"/>
      </w:pPr>
      <w:r>
        <w:t xml:space="preserve">This section provides analysis of </w:t>
      </w:r>
      <w:r w:rsidRPr="000A0D84">
        <w:t xml:space="preserve">earnings </w:t>
      </w:r>
      <w:r>
        <w:t>across</w:t>
      </w:r>
      <w:r w:rsidRPr="000A0D84">
        <w:t xml:space="preserve"> industries and occupations</w:t>
      </w:r>
      <w:r>
        <w:t xml:space="preserve"> </w:t>
      </w:r>
      <w:r w:rsidRPr="00812B89">
        <w:t>highlighting how pay levels vary between different sectors of the economy and types of work</w:t>
      </w:r>
      <w:r>
        <w:t xml:space="preserve">. </w:t>
      </w:r>
      <w:r w:rsidRPr="000A0D84">
        <w:t>Top earning occupations, based on median weekly earnings for full time employees, excluding overtime</w:t>
      </w:r>
      <w:r>
        <w:t>,</w:t>
      </w:r>
      <w:r w:rsidRPr="000A0D84">
        <w:t xml:space="preserve"> include Manager</w:t>
      </w:r>
      <w:r>
        <w:t>s</w:t>
      </w:r>
      <w:r w:rsidRPr="000A0D84">
        <w:t>, Directors and Senior Officials (£1</w:t>
      </w:r>
      <w:r>
        <w:t>,</w:t>
      </w:r>
      <w:r w:rsidRPr="000A0D84">
        <w:t>14</w:t>
      </w:r>
      <w:r>
        <w:t>5</w:t>
      </w:r>
      <w:r w:rsidRPr="000A0D84">
        <w:t>), Professional Occupations (£884),</w:t>
      </w:r>
      <w:r>
        <w:t xml:space="preserve"> and</w:t>
      </w:r>
      <w:r w:rsidRPr="000A0D84">
        <w:t xml:space="preserve"> Associate Professional Occupations (£70</w:t>
      </w:r>
      <w:r>
        <w:t>3</w:t>
      </w:r>
      <w:r w:rsidRPr="000A0D84">
        <w:t xml:space="preserve">). The lowest paying occupation is </w:t>
      </w:r>
      <w:r w:rsidR="00E4048C">
        <w:t>S</w:t>
      </w:r>
      <w:r w:rsidRPr="000A0D84">
        <w:t xml:space="preserve">ales and </w:t>
      </w:r>
      <w:r w:rsidR="00E4048C">
        <w:t>C</w:t>
      </w:r>
      <w:r w:rsidRPr="000A0D84">
        <w:t xml:space="preserve">ustomer </w:t>
      </w:r>
      <w:r w:rsidR="00E4048C">
        <w:t>S</w:t>
      </w:r>
      <w:r w:rsidRPr="000A0D84">
        <w:t xml:space="preserve">ervice occupations at £494 per week, just over £190 below the average earnings for all employees. This is largely reflective of the higher proportion of Minimum Wage jobs in this </w:t>
      </w:r>
      <w:r>
        <w:t>occupation group</w:t>
      </w:r>
      <w:r w:rsidRPr="000A0D84">
        <w:t xml:space="preserve"> compared to those occupations at the top of the earnings.</w:t>
      </w:r>
    </w:p>
    <w:p w14:paraId="1095186A" w14:textId="2482927B" w:rsidR="00DF2A62" w:rsidRPr="000A0D84" w:rsidRDefault="00DF2A62" w:rsidP="00DF2A62">
      <w:pPr>
        <w:jc w:val="both"/>
      </w:pPr>
      <w:r w:rsidRPr="000364F1">
        <w:t xml:space="preserve">There is a clear relationship </w:t>
      </w:r>
      <w:r w:rsidRPr="000A0D84">
        <w:t>between the occupations with the highest proportion of Good Jobs and those with the highest earnings</w:t>
      </w:r>
      <w:r>
        <w:t xml:space="preserve">, </w:t>
      </w:r>
      <w:r w:rsidRPr="000364F1">
        <w:t>suggesting that higher-paying occupations are more likely to offer the characteristics associated with Good Jobs, such as job security, quality working conditions and opportunities for progression.</w:t>
      </w:r>
      <w:r>
        <w:t xml:space="preserve"> </w:t>
      </w:r>
      <w:r w:rsidRPr="000A0D84">
        <w:t xml:space="preserve">The top earning occupations, as </w:t>
      </w:r>
      <w:r>
        <w:t>noted</w:t>
      </w:r>
      <w:r w:rsidRPr="000A0D84">
        <w:t xml:space="preserve"> above, </w:t>
      </w:r>
      <w:r>
        <w:t xml:space="preserve">also had the greatest </w:t>
      </w:r>
      <w:r w:rsidRPr="000A0D84">
        <w:t>proportion of Good Jobs at 93.1%, 84.2% and 84.1% respectively</w:t>
      </w:r>
      <w:r>
        <w:t>.</w:t>
      </w:r>
      <w:r>
        <w:rPr>
          <w:rStyle w:val="EndnoteReference"/>
        </w:rPr>
        <w:endnoteReference w:id="6"/>
      </w:r>
      <w:r w:rsidRPr="000A0D84">
        <w:t xml:space="preserve"> </w:t>
      </w:r>
      <w:r>
        <w:t>A</w:t>
      </w:r>
      <w:r w:rsidRPr="000A0D84">
        <w:t xml:space="preserve">ll </w:t>
      </w:r>
      <w:r>
        <w:t xml:space="preserve">three were substantially above </w:t>
      </w:r>
      <w:r w:rsidRPr="000A0D84">
        <w:t xml:space="preserve">the NI average of 69.0%. Similarly, Sales and customer service occupations </w:t>
      </w:r>
      <w:r>
        <w:t>have</w:t>
      </w:r>
      <w:r w:rsidRPr="000A0D84">
        <w:t xml:space="preserve"> the lowest proportion of good jobs at 34.5%.</w:t>
      </w:r>
      <w:r>
        <w:t xml:space="preserve"> </w:t>
      </w:r>
    </w:p>
    <w:p w14:paraId="42D65327" w14:textId="77777777" w:rsidR="00DF2A62" w:rsidRPr="00215DE7" w:rsidRDefault="00DF2A62" w:rsidP="00DF2A62">
      <w:pPr>
        <w:jc w:val="both"/>
      </w:pPr>
      <w:r w:rsidRPr="000A0D84">
        <w:t xml:space="preserve">The Good Jobs measure is </w:t>
      </w:r>
      <w:r>
        <w:t>based on</w:t>
      </w:r>
      <w:r w:rsidRPr="000A0D84">
        <w:t xml:space="preserve"> three indicators, one of which </w:t>
      </w:r>
      <w:r>
        <w:t>is</w:t>
      </w:r>
      <w:r w:rsidRPr="000A0D84">
        <w:t xml:space="preserve"> the proportion of employees earning at least the RLW. </w:t>
      </w:r>
      <w:r>
        <w:t xml:space="preserve">Consequently, </w:t>
      </w:r>
      <w:r w:rsidRPr="000A0D84">
        <w:t>trend</w:t>
      </w:r>
      <w:r>
        <w:t>s</w:t>
      </w:r>
      <w:r w:rsidRPr="000A0D84">
        <w:t xml:space="preserve"> </w:t>
      </w:r>
      <w:r>
        <w:t xml:space="preserve">in the overall </w:t>
      </w:r>
      <w:r w:rsidRPr="000A0D84">
        <w:t xml:space="preserve">Good Jobs </w:t>
      </w:r>
      <w:r>
        <w:t xml:space="preserve">measure closely mirror those of the </w:t>
      </w:r>
      <w:r w:rsidRPr="000A0D84">
        <w:t>RLW indicator</w:t>
      </w:r>
      <w:r>
        <w:t xml:space="preserve">, </w:t>
      </w:r>
      <w:r w:rsidRPr="00F264B0">
        <w:t>reflecting its strong influence on</w:t>
      </w:r>
      <w:r w:rsidRPr="00215DE7">
        <w:t xml:space="preserve"> the headline measure.</w:t>
      </w:r>
      <w:r>
        <w:t xml:space="preserve">  </w:t>
      </w:r>
      <w:r w:rsidRPr="00215DE7">
        <w:t>As the highest-earning occupations generally have pay levels well above the RLW threshold, the pattern observed across occupations for earnings is closely reflected in the proportion of Good Jobs.</w:t>
      </w:r>
    </w:p>
    <w:p w14:paraId="3340E54C" w14:textId="77777777" w:rsidR="00DF2A62" w:rsidRPr="000A0D84" w:rsidRDefault="00DF2A62" w:rsidP="00DF2A62">
      <w:pPr>
        <w:pStyle w:val="Heading1"/>
      </w:pPr>
      <w:r w:rsidRPr="005173F5">
        <w:t>Qualification</w:t>
      </w:r>
      <w:r>
        <w:t xml:space="preserve"> </w:t>
      </w:r>
      <w:r w:rsidRPr="000A0D84">
        <w:t>Level</w:t>
      </w:r>
    </w:p>
    <w:p w14:paraId="5BA95E30" w14:textId="77777777" w:rsidR="00DF2A62" w:rsidRDefault="00DF2A62" w:rsidP="00DF2A62"/>
    <w:p w14:paraId="0B8F3F84" w14:textId="403A4E54" w:rsidR="00DF2A62" w:rsidRDefault="00DF2A62" w:rsidP="00DF2A62">
      <w:pPr>
        <w:jc w:val="both"/>
      </w:pPr>
      <w:r w:rsidRPr="000A0D84">
        <w:t>There is a</w:t>
      </w:r>
      <w:r>
        <w:t xml:space="preserve"> clear</w:t>
      </w:r>
      <w:r w:rsidRPr="000A0D84">
        <w:t xml:space="preserve"> </w:t>
      </w:r>
      <w:r>
        <w:t>relationship</w:t>
      </w:r>
      <w:r w:rsidRPr="000A0D84">
        <w:t xml:space="preserve"> between qualification level</w:t>
      </w:r>
      <w:r>
        <w:t>s</w:t>
      </w:r>
      <w:r w:rsidRPr="000A0D84">
        <w:t xml:space="preserve"> and earnings</w:t>
      </w:r>
      <w:r>
        <w:t>, with</w:t>
      </w:r>
      <w:r w:rsidRPr="000A0D84">
        <w:t xml:space="preserve"> </w:t>
      </w:r>
      <w:r>
        <w:t>h</w:t>
      </w:r>
      <w:r w:rsidRPr="000A0D84">
        <w:t xml:space="preserve">igher qualifications </w:t>
      </w:r>
      <w:r>
        <w:t xml:space="preserve">generally associated with </w:t>
      </w:r>
      <w:r w:rsidRPr="000A0D84">
        <w:t xml:space="preserve">higher </w:t>
      </w:r>
      <w:r>
        <w:t>levels of pay</w:t>
      </w:r>
      <w:r w:rsidRPr="000A0D84">
        <w:t xml:space="preserve">. This </w:t>
      </w:r>
      <w:r>
        <w:t xml:space="preserve">pattern is evident across </w:t>
      </w:r>
      <w:r w:rsidRPr="000A0D84">
        <w:t xml:space="preserve">all </w:t>
      </w:r>
      <w:r>
        <w:t xml:space="preserve">qualification </w:t>
      </w:r>
      <w:r w:rsidRPr="000A0D84">
        <w:t>levels</w:t>
      </w:r>
      <w:r>
        <w:t xml:space="preserve">, </w:t>
      </w:r>
      <w:r w:rsidRPr="008E3525">
        <w:t>with earnings tending to increase as individuals attain higher qualifications, reflecting the greater skills, knowledge and opportunities often associated with advanced educational attainment</w:t>
      </w:r>
      <w:r>
        <w:t xml:space="preserve">. </w:t>
      </w:r>
    </w:p>
    <w:p w14:paraId="118469E5" w14:textId="77777777" w:rsidR="00DF2A62" w:rsidRDefault="00DF2A62" w:rsidP="00DF2A62">
      <w:pPr>
        <w:jc w:val="both"/>
      </w:pPr>
      <w:r>
        <w:t>The latest</w:t>
      </w:r>
      <w:r w:rsidRPr="000A0D84">
        <w:t xml:space="preserve"> weekly earnings </w:t>
      </w:r>
      <w:r>
        <w:t>data for</w:t>
      </w:r>
      <w:r w:rsidRPr="000A0D84">
        <w:t xml:space="preserve"> 2025, </w:t>
      </w:r>
      <w:r>
        <w:t xml:space="preserve">show a clear relationship between </w:t>
      </w:r>
      <w:r w:rsidRPr="00D06A2C">
        <w:t>qualification levels and pay.</w:t>
      </w:r>
      <w:r>
        <w:t xml:space="preserve"> Employees </w:t>
      </w:r>
      <w:r w:rsidRPr="000A0D84">
        <w:t>qualified to RQF level 6, earn</w:t>
      </w:r>
      <w:r>
        <w:t>ed an average of</w:t>
      </w:r>
      <w:r w:rsidRPr="000A0D84">
        <w:t xml:space="preserve"> £789 per week</w:t>
      </w:r>
      <w:r>
        <w:t xml:space="preserve">, </w:t>
      </w:r>
      <w:r w:rsidRPr="000A0D84">
        <w:t>compare</w:t>
      </w:r>
      <w:r>
        <w:t>d</w:t>
      </w:r>
      <w:r w:rsidRPr="000A0D84">
        <w:t xml:space="preserve"> </w:t>
      </w:r>
      <w:r>
        <w:t>with</w:t>
      </w:r>
      <w:r w:rsidRPr="000A0D84">
        <w:t xml:space="preserve"> £644 for </w:t>
      </w:r>
      <w:r>
        <w:t>those qualified to L</w:t>
      </w:r>
      <w:r w:rsidRPr="000A0D84">
        <w:t>evel</w:t>
      </w:r>
      <w:r>
        <w:t>s</w:t>
      </w:r>
      <w:r w:rsidRPr="000A0D84">
        <w:t xml:space="preserve"> 4 and 5, £495 for </w:t>
      </w:r>
      <w:r w:rsidRPr="00D06A2C">
        <w:t xml:space="preserve">those qualified </w:t>
      </w:r>
      <w:r>
        <w:t xml:space="preserve">to </w:t>
      </w:r>
      <w:r w:rsidRPr="000A0D84">
        <w:t>level 3</w:t>
      </w:r>
      <w:r>
        <w:t>,</w:t>
      </w:r>
      <w:r w:rsidRPr="000A0D84">
        <w:t xml:space="preserve"> and £465 for </w:t>
      </w:r>
      <w:r w:rsidRPr="00D06A2C">
        <w:t xml:space="preserve">those qualified </w:t>
      </w:r>
      <w:r>
        <w:t xml:space="preserve">to </w:t>
      </w:r>
      <w:r w:rsidRPr="000A0D84">
        <w:t xml:space="preserve">level 2 and below. </w:t>
      </w:r>
    </w:p>
    <w:p w14:paraId="1FDF3FD9" w14:textId="77777777" w:rsidR="00DF2A62" w:rsidRDefault="00DF2A62" w:rsidP="00DF2A62">
      <w:pPr>
        <w:jc w:val="both"/>
      </w:pPr>
      <w:r w:rsidRPr="000A0D84">
        <w:lastRenderedPageBreak/>
        <w:t xml:space="preserve">There is a gap of £324 per week </w:t>
      </w:r>
      <w:r>
        <w:t>between</w:t>
      </w:r>
      <w:r w:rsidRPr="000A0D84">
        <w:t xml:space="preserve"> those </w:t>
      </w:r>
      <w:r>
        <w:t>with</w:t>
      </w:r>
      <w:r w:rsidRPr="000A0D84">
        <w:t xml:space="preserve"> the highest and lowest qualification levels</w:t>
      </w:r>
      <w:r>
        <w:t>.  While this gap has fluctuated from year to year, the overall trend</w:t>
      </w:r>
      <w:r w:rsidRPr="000A0D84">
        <w:t xml:space="preserve"> has</w:t>
      </w:r>
      <w:r>
        <w:t xml:space="preserve"> </w:t>
      </w:r>
      <w:r w:rsidRPr="000A0D84">
        <w:t>generally increased over time</w:t>
      </w:r>
      <w:r>
        <w:t xml:space="preserve">, with the gap increasing from </w:t>
      </w:r>
      <w:r w:rsidRPr="00EA7EC3">
        <w:t>£259 per week in 2003 to £324 per week in 2025.</w:t>
      </w:r>
      <w:r>
        <w:t xml:space="preserve"> </w:t>
      </w:r>
    </w:p>
    <w:p w14:paraId="7A445FF5" w14:textId="256B1849" w:rsidR="00DF2A62" w:rsidRDefault="00DF2A62" w:rsidP="00DF2A62">
      <w:pPr>
        <w:jc w:val="both"/>
      </w:pPr>
      <w:r w:rsidRPr="00EA7EC3">
        <w:t>The data indicate</w:t>
      </w:r>
      <w:r>
        <w:t>s</w:t>
      </w:r>
      <w:r w:rsidRPr="00EA7EC3">
        <w:t xml:space="preserve"> </w:t>
      </w:r>
      <w:r w:rsidRPr="000A0D84">
        <w:t xml:space="preserve">that graduates </w:t>
      </w:r>
      <w:r>
        <w:t xml:space="preserve">continue to benefit from a substantial </w:t>
      </w:r>
      <w:r w:rsidRPr="000A0D84">
        <w:t>earnings premium</w:t>
      </w:r>
      <w:r>
        <w:t xml:space="preserve"> compared with those </w:t>
      </w:r>
      <w:r w:rsidRPr="00EA7EC3">
        <w:t>holding lower-level qualifications</w:t>
      </w:r>
      <w:r>
        <w:t>. H</w:t>
      </w:r>
      <w:r w:rsidRPr="000A0D84">
        <w:t xml:space="preserve">owever, the </w:t>
      </w:r>
      <w:r>
        <w:t xml:space="preserve">relative </w:t>
      </w:r>
      <w:r w:rsidRPr="000A0D84">
        <w:t xml:space="preserve">size of this premium </w:t>
      </w:r>
      <w:r>
        <w:t>has</w:t>
      </w:r>
      <w:r w:rsidRPr="000A0D84">
        <w:t xml:space="preserve"> dec</w:t>
      </w:r>
      <w:r>
        <w:t>lined</w:t>
      </w:r>
      <w:r w:rsidRPr="000A0D84">
        <w:t xml:space="preserve"> over time.</w:t>
      </w:r>
      <w:r>
        <w:t xml:space="preserve"> </w:t>
      </w:r>
      <w:r w:rsidRPr="00EA7EC3">
        <w:t>The earnings advantage of those with the highest qualifications compared with the lowest qualified was typically between 80% and over 100% for much of the period shown in Figure 3</w:t>
      </w:r>
      <w:r>
        <w:rPr>
          <w:rStyle w:val="EndnoteReference"/>
        </w:rPr>
        <w:endnoteReference w:id="7"/>
      </w:r>
      <w:r w:rsidRPr="00EA7EC3">
        <w:t>, before falling to around 65% by 2020</w:t>
      </w:r>
      <w:r>
        <w:t xml:space="preserve"> and it currently is 70% in 2025</w:t>
      </w:r>
      <w:r w:rsidRPr="00EA7EC3">
        <w:t>. This suggests that, while higher qualifications remain strongly associated with higher earnings, the proportional gap between qualification groups has narrowed over time.</w:t>
      </w:r>
    </w:p>
    <w:p w14:paraId="5213516A" w14:textId="77777777" w:rsidR="00480446" w:rsidRDefault="00480446" w:rsidP="00DF2A62">
      <w:pPr>
        <w:jc w:val="both"/>
      </w:pPr>
    </w:p>
    <w:p w14:paraId="2C222587" w14:textId="77777777" w:rsidR="00DF2A62" w:rsidRDefault="00DF2A62" w:rsidP="00DF2A62">
      <w:pPr>
        <w:jc w:val="both"/>
      </w:pPr>
      <w:r w:rsidRPr="000A0D84">
        <w:t>The positive</w:t>
      </w:r>
      <w:r>
        <w:t xml:space="preserve"> </w:t>
      </w:r>
      <w:r w:rsidRPr="000A0D84">
        <w:t xml:space="preserve">earnings </w:t>
      </w:r>
      <w:r>
        <w:t xml:space="preserve">return associated with higher qualifications </w:t>
      </w:r>
      <w:r w:rsidRPr="000A0D84">
        <w:t xml:space="preserve">could be </w:t>
      </w:r>
      <w:r>
        <w:t>attributed</w:t>
      </w:r>
      <w:r w:rsidRPr="000A0D84">
        <w:t xml:space="preserve"> to factors such as skills development</w:t>
      </w:r>
      <w:r>
        <w:t>, as</w:t>
      </w:r>
      <w:r w:rsidRPr="00474552">
        <w:t xml:space="preserve"> individuals acquire and enhance both technical and transferable skills that are valued </w:t>
      </w:r>
      <w:r w:rsidRPr="000A0D84">
        <w:t xml:space="preserve">across a </w:t>
      </w:r>
      <w:r>
        <w:t xml:space="preserve">wide </w:t>
      </w:r>
      <w:r w:rsidRPr="000A0D84">
        <w:t>range of industries and occupations</w:t>
      </w:r>
      <w:r>
        <w:t>. T</w:t>
      </w:r>
      <w:r w:rsidRPr="000A0D84">
        <w:t xml:space="preserve">hese skills create value which enhances an individual’s competitiveness in the labour market, particularly if they </w:t>
      </w:r>
      <w:r>
        <w:t>possess specialist knowledge or</w:t>
      </w:r>
      <w:r w:rsidRPr="000A0D84">
        <w:t xml:space="preserve"> subject matter expertise. </w:t>
      </w:r>
      <w:r>
        <w:t xml:space="preserve">Such skills </w:t>
      </w:r>
      <w:r w:rsidRPr="00386B9F">
        <w:t>can improve access to higher-skilled occupations, support career progression, and increase employment opportunities, all of which can contribute to higher earnings over time.</w:t>
      </w:r>
      <w:r>
        <w:t xml:space="preserve"> </w:t>
      </w:r>
      <w:r w:rsidRPr="000A0D84">
        <w:t xml:space="preserve">Additionally, the demand for those with higher level qualifications in the labour market </w:t>
      </w:r>
      <w:r>
        <w:t>is</w:t>
      </w:r>
      <w:r w:rsidRPr="000A0D84">
        <w:t xml:space="preserve"> often higher and therefore enhance</w:t>
      </w:r>
      <w:r>
        <w:t>s their</w:t>
      </w:r>
      <w:r w:rsidRPr="000A0D84">
        <w:t xml:space="preserve"> job </w:t>
      </w:r>
      <w:r>
        <w:t xml:space="preserve">and salary </w:t>
      </w:r>
      <w:r w:rsidRPr="000A0D84">
        <w:t>prospects.</w:t>
      </w:r>
    </w:p>
    <w:p w14:paraId="54511789" w14:textId="77777777" w:rsidR="00DF2A62" w:rsidRPr="000A0D84" w:rsidRDefault="00DF2A62" w:rsidP="00DF2A62">
      <w:pPr>
        <w:pStyle w:val="Caption"/>
      </w:pPr>
      <w:r w:rsidRPr="000A0D84">
        <w:t xml:space="preserve">Figure </w:t>
      </w:r>
      <w:fldSimple w:instr=" SEQ Figure \* ARABIC ">
        <w:r>
          <w:rPr>
            <w:noProof/>
          </w:rPr>
          <w:t>3</w:t>
        </w:r>
      </w:fldSimple>
      <w:r w:rsidRPr="000A0D84">
        <w:t>: Earnings by RQF Qualification Level</w:t>
      </w:r>
      <w:r w:rsidRPr="000A0D84">
        <w:rPr>
          <w:noProof/>
        </w:rPr>
        <w:drawing>
          <wp:inline distT="0" distB="0" distL="0" distR="0" wp14:anchorId="3625FA7C" wp14:editId="635A8D5E">
            <wp:extent cx="6086475" cy="3714750"/>
            <wp:effectExtent l="0" t="0" r="0" b="0"/>
            <wp:docPr id="1977395728" name="Chart 1" descr="Alt text: Time-series chart of weekly earnings by RQF qualification level. Earnings are consistently highest for employees qualified to Level 6 and above and lowest for those at Level 2 and below. In 2025, weekly earnings range from £789 for Level 6 and above to £465 for Level 2 and below, a gap of £324. The relative premium for the highest-qualified group has narrowed over time.">
              <a:extLst xmlns:a="http://schemas.openxmlformats.org/drawingml/2006/main">
                <a:ext uri="{FF2B5EF4-FFF2-40B4-BE49-F238E27FC236}">
                  <a16:creationId xmlns:a16="http://schemas.microsoft.com/office/drawing/2014/main" id="{F9F842CC-2782-863F-ABD6-3AA2905806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600B890" w14:textId="65D3FB4A" w:rsidR="00DF2A62" w:rsidRPr="00A25E20" w:rsidRDefault="00DF2A62" w:rsidP="00DF2A62">
      <w:r w:rsidRPr="00A25E20">
        <w:t>Source: UUEPC, LMI Dashboard</w:t>
      </w:r>
      <w:r w:rsidR="00A25E20" w:rsidRPr="00A25E20">
        <w:t>, Labour Force Survey</w:t>
      </w:r>
    </w:p>
    <w:p w14:paraId="24B54554" w14:textId="739CC47B" w:rsidR="00DF2A62" w:rsidRPr="00480446" w:rsidRDefault="00480446" w:rsidP="00DF2A62">
      <w:pPr>
        <w:rPr>
          <w:i/>
          <w:iCs/>
          <w:sz w:val="14"/>
          <w:szCs w:val="14"/>
        </w:rPr>
      </w:pPr>
      <w:r w:rsidRPr="00480446">
        <w:rPr>
          <w:i/>
          <w:iCs/>
          <w:sz w:val="14"/>
          <w:szCs w:val="14"/>
        </w:rPr>
        <w:lastRenderedPageBreak/>
        <w:t xml:space="preserve">Note - </w:t>
      </w:r>
      <w:r w:rsidR="00DF2A62" w:rsidRPr="00480446">
        <w:rPr>
          <w:i/>
          <w:iCs/>
          <w:sz w:val="14"/>
          <w:szCs w:val="14"/>
        </w:rPr>
        <w:t xml:space="preserve">L3 Data only available </w:t>
      </w:r>
      <w:r w:rsidR="00D11465" w:rsidRPr="00480446">
        <w:rPr>
          <w:i/>
          <w:iCs/>
          <w:sz w:val="14"/>
          <w:szCs w:val="14"/>
        </w:rPr>
        <w:t>from</w:t>
      </w:r>
      <w:r w:rsidR="00DF2A62" w:rsidRPr="00480446">
        <w:rPr>
          <w:i/>
          <w:iCs/>
          <w:sz w:val="14"/>
          <w:szCs w:val="14"/>
        </w:rPr>
        <w:t xml:space="preserve"> 2008.</w:t>
      </w:r>
    </w:p>
    <w:p w14:paraId="5C78CA13" w14:textId="77777777" w:rsidR="00480446" w:rsidRDefault="00480446" w:rsidP="00DF2A62">
      <w:pPr>
        <w:jc w:val="both"/>
      </w:pPr>
    </w:p>
    <w:p w14:paraId="59317943" w14:textId="602A93E6" w:rsidR="00DF2A62" w:rsidRPr="00CC3BF8" w:rsidRDefault="00DF2A62" w:rsidP="00DF2A62">
      <w:pPr>
        <w:jc w:val="both"/>
      </w:pPr>
      <w:r>
        <w:t xml:space="preserve">Figure 4, analyses </w:t>
      </w:r>
      <w:r w:rsidRPr="000A0D84">
        <w:t>the growth in earnings for each qualification level</w:t>
      </w:r>
      <w:r>
        <w:t>,</w:t>
      </w:r>
      <w:r w:rsidRPr="00CC3BF8">
        <w:t xml:space="preserve"> highlighting how changes in pay have varied over time for individuals with different levels of educational attainment. </w:t>
      </w:r>
      <w:r>
        <w:t xml:space="preserve"> </w:t>
      </w:r>
      <w:r w:rsidRPr="00CC3BF8">
        <w:t>This analysis provides further insight into the relationship between qualifications and earnings, and how the returns to different qualification levels have evolved.</w:t>
      </w:r>
    </w:p>
    <w:p w14:paraId="5A05DFB2" w14:textId="7D8A119D" w:rsidR="00DF2A62" w:rsidRDefault="00DF2A62" w:rsidP="00DF2A62">
      <w:pPr>
        <w:jc w:val="both"/>
      </w:pPr>
      <w:r w:rsidRPr="000A0D84">
        <w:t xml:space="preserve">The growth </w:t>
      </w:r>
      <w:r>
        <w:t xml:space="preserve">in earnings </w:t>
      </w:r>
      <w:r w:rsidRPr="000A0D84">
        <w:t xml:space="preserve">for those with level 6+ qualifications </w:t>
      </w:r>
      <w:r>
        <w:t>has been</w:t>
      </w:r>
      <w:r w:rsidRPr="000A0D84">
        <w:t xml:space="preserve"> the slowest, growing by 38% </w:t>
      </w:r>
      <w:r>
        <w:t>from 2008 to</w:t>
      </w:r>
      <w:r w:rsidRPr="000A0D84">
        <w:t xml:space="preserve"> 2025. </w:t>
      </w:r>
      <w:r>
        <w:t xml:space="preserve">In contrast, </w:t>
      </w:r>
      <w:r w:rsidRPr="000A0D84">
        <w:t>lowe</w:t>
      </w:r>
      <w:r>
        <w:t>r</w:t>
      </w:r>
      <w:r w:rsidRPr="000A0D84">
        <w:t xml:space="preserve"> qualified </w:t>
      </w:r>
      <w:r>
        <w:t xml:space="preserve">individuals </w:t>
      </w:r>
      <w:r w:rsidRPr="000A0D84">
        <w:t xml:space="preserve">have seen faster </w:t>
      </w:r>
      <w:r>
        <w:t xml:space="preserve">earnings </w:t>
      </w:r>
      <w:r w:rsidRPr="000A0D84">
        <w:t>growth</w:t>
      </w:r>
      <w:r>
        <w:t>, driven in a large part by successive</w:t>
      </w:r>
      <w:r w:rsidRPr="000A0D84">
        <w:t xml:space="preserve"> increas</w:t>
      </w:r>
      <w:r>
        <w:t>es</w:t>
      </w:r>
      <w:r w:rsidRPr="000A0D84">
        <w:t xml:space="preserve"> in </w:t>
      </w:r>
      <w:r>
        <w:t xml:space="preserve">the </w:t>
      </w:r>
      <w:r w:rsidRPr="000A0D84">
        <w:t>minimum wage</w:t>
      </w:r>
      <w:r>
        <w:t>, which</w:t>
      </w:r>
      <w:r w:rsidRPr="00C90DBB">
        <w:t xml:space="preserve"> have raised pay levels at the lower end of the earnings distribution</w:t>
      </w:r>
      <w:r>
        <w:t xml:space="preserve">.  </w:t>
      </w:r>
      <w:r w:rsidRPr="000A0D84">
        <w:t>This has had a notable impact on</w:t>
      </w:r>
      <w:r>
        <w:t xml:space="preserve"> earnings in</w:t>
      </w:r>
      <w:r w:rsidRPr="000A0D84">
        <w:t xml:space="preserve"> graduate </w:t>
      </w:r>
      <w:r>
        <w:t>occupations</w:t>
      </w:r>
      <w:r w:rsidRPr="000A0D84">
        <w:t>, with the</w:t>
      </w:r>
      <w:r>
        <w:t xml:space="preserve"> sustained</w:t>
      </w:r>
      <w:r w:rsidRPr="000A0D84">
        <w:t xml:space="preserve"> increases </w:t>
      </w:r>
      <w:r>
        <w:t xml:space="preserve">in minimum wage levels contributing to a </w:t>
      </w:r>
      <w:r w:rsidRPr="000A0D84">
        <w:t xml:space="preserve">narrowing gap between graduate and non-graduate </w:t>
      </w:r>
      <w:r>
        <w:t>earnings</w:t>
      </w:r>
      <w:r w:rsidRPr="000A0D84">
        <w:t xml:space="preserve">. </w:t>
      </w:r>
    </w:p>
    <w:p w14:paraId="2E63A022" w14:textId="77777777" w:rsidR="00DF2A62" w:rsidRDefault="00DF2A62" w:rsidP="00DF2A62">
      <w:pPr>
        <w:jc w:val="both"/>
      </w:pPr>
    </w:p>
    <w:p w14:paraId="3F03047B" w14:textId="77777777" w:rsidR="00DF2A62" w:rsidRDefault="00DF2A62" w:rsidP="00DF2A62">
      <w:pPr>
        <w:jc w:val="both"/>
      </w:pPr>
      <w:r w:rsidRPr="000A0D84">
        <w:t xml:space="preserve">Many </w:t>
      </w:r>
      <w:r>
        <w:t xml:space="preserve">entry level </w:t>
      </w:r>
      <w:r w:rsidRPr="000A0D84">
        <w:t xml:space="preserve">graduate jobs are now advertised </w:t>
      </w:r>
      <w:r>
        <w:t xml:space="preserve">with salaries </w:t>
      </w:r>
      <w:r w:rsidRPr="000A0D84">
        <w:t xml:space="preserve">just above </w:t>
      </w:r>
      <w:r>
        <w:t xml:space="preserve">the </w:t>
      </w:r>
      <w:r w:rsidRPr="000A0D84">
        <w:t xml:space="preserve">minimum wage, </w:t>
      </w:r>
      <w:r>
        <w:t xml:space="preserve">reflecting </w:t>
      </w:r>
      <w:r w:rsidRPr="000A0D84">
        <w:t xml:space="preserve">the cost pressures </w:t>
      </w:r>
      <w:r>
        <w:t>faced</w:t>
      </w:r>
      <w:r w:rsidRPr="000A0D84">
        <w:t xml:space="preserve"> by businesses </w:t>
      </w:r>
      <w:r>
        <w:t xml:space="preserve">as wage floors have increased.  </w:t>
      </w:r>
      <w:r w:rsidRPr="00C90DBB">
        <w:t>As a result, concerns have emerged around a reduced graduate earnings premium, potentially weakening the financial return associated with graduate-level employment.</w:t>
      </w:r>
      <w:r>
        <w:t xml:space="preserve"> </w:t>
      </w:r>
    </w:p>
    <w:p w14:paraId="71CFAB23" w14:textId="77777777" w:rsidR="00DF2A62" w:rsidRPr="000A0D84" w:rsidRDefault="00DF2A62" w:rsidP="00DF2A62"/>
    <w:p w14:paraId="46E5505B" w14:textId="77777777" w:rsidR="00DF2A62" w:rsidRPr="000A0D84" w:rsidRDefault="00DF2A62" w:rsidP="00DF2A62">
      <w:pPr>
        <w:pStyle w:val="Caption"/>
      </w:pPr>
      <w:r w:rsidRPr="000A0D84">
        <w:t xml:space="preserve">Figure </w:t>
      </w:r>
      <w:fldSimple w:instr=" SEQ Figure \* ARABIC ">
        <w:r>
          <w:rPr>
            <w:noProof/>
          </w:rPr>
          <w:t>4</w:t>
        </w:r>
      </w:fldSimple>
      <w:r w:rsidRPr="000A0D84">
        <w:t>: Earnings Growth by RQF Qualification Levels</w:t>
      </w:r>
    </w:p>
    <w:p w14:paraId="66488999" w14:textId="77777777" w:rsidR="00DF2A62" w:rsidRPr="000A0D84" w:rsidRDefault="00DF2A62" w:rsidP="00DF2A62">
      <w:r w:rsidRPr="000A0D84">
        <w:rPr>
          <w:noProof/>
        </w:rPr>
        <w:drawing>
          <wp:inline distT="0" distB="0" distL="0" distR="0" wp14:anchorId="2FADC00A" wp14:editId="3ECBB3E3">
            <wp:extent cx="6057900" cy="3686939"/>
            <wp:effectExtent l="0" t="0" r="0" b="8890"/>
            <wp:docPr id="1268058448" name="Chart 1" descr="Chart comparing earnings growth across RQF qualification levels between 2008 and 2025. Employees qualified to Level 6 and above record the slowest growth, at 38%, while lower qualification groups experience faster growth, contributing to a narrowing of the earnings gap between graduate and non-graduate workers.">
              <a:extLst xmlns:a="http://schemas.openxmlformats.org/drawingml/2006/main">
                <a:ext uri="{FF2B5EF4-FFF2-40B4-BE49-F238E27FC236}">
                  <a16:creationId xmlns:a16="http://schemas.microsoft.com/office/drawing/2014/main" id="{77C26862-F17A-828F-6CC8-F4B5977A5E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7D3AAEC" w14:textId="475EA60B" w:rsidR="00DF2A62" w:rsidRPr="00A25E20" w:rsidRDefault="00DF2A62" w:rsidP="00DF2A62">
      <w:r w:rsidRPr="00A25E20">
        <w:t>Source: UUEPC, LMI Dashboard</w:t>
      </w:r>
      <w:r w:rsidR="00A25E20" w:rsidRPr="00A25E20">
        <w:t>, Labour Force Survey</w:t>
      </w:r>
    </w:p>
    <w:p w14:paraId="5E50C845" w14:textId="77777777" w:rsidR="00DF2A62" w:rsidRPr="000A0D84" w:rsidRDefault="00DF2A62" w:rsidP="00DF2A62">
      <w:pPr>
        <w:pStyle w:val="Heading1"/>
      </w:pPr>
      <w:r w:rsidRPr="000A0D84">
        <w:lastRenderedPageBreak/>
        <w:t>Real vs Nominal Wages</w:t>
      </w:r>
    </w:p>
    <w:p w14:paraId="5C1FE32B" w14:textId="77777777" w:rsidR="00DF2A62" w:rsidRPr="000A0D84" w:rsidRDefault="00DF2A62" w:rsidP="00DF2A62">
      <w:pPr>
        <w:jc w:val="both"/>
      </w:pPr>
      <w:r w:rsidRPr="000A0D84">
        <w:t>Earnings growth can be broken down into two categories, real wage growth and nominal wage growth. Nominal wage growth is the wage with no adjustment for inflation, whereas real wage growth is adjusted for inflation and can give a more accurate indication of purchasing power. Real wage growth highlights if wage growth is keeping pace with the cost of living and is therefore an indicator for living standards. If growth is stagnant or declining, then this would highlight how inflation is eroding purchasing power and it is harder for workers to maintain their standard of living.</w:t>
      </w:r>
    </w:p>
    <w:p w14:paraId="6E9E1572" w14:textId="77777777" w:rsidR="0083438E" w:rsidRDefault="004608F1">
      <w:pPr>
        <w:jc w:val="both"/>
        <w:rPr>
          <w:kern w:val="2"/>
          <w:lang w:eastAsia="en-GB"/>
          <w14:ligatures w14:val="standardContextual"/>
        </w:rPr>
      </w:pPr>
      <w:r w:rsidRPr="004608F1">
        <w:t>ASHE data highlights that earnings increased on an annual basis in both nominal and real terms, rising by 7.4% and 3.1% respectively (Figure 5). Viewed over the longer term, however, real wages have remained relatively flat over the past 15 years, despite the more positive improvements recorded in the short to medium term.</w:t>
      </w:r>
    </w:p>
    <w:p w14:paraId="0EBFCE0E" w14:textId="77777777" w:rsidR="00DF2A62" w:rsidRDefault="00DF2A62" w:rsidP="00DF2A62">
      <w:pPr>
        <w:jc w:val="both"/>
      </w:pPr>
    </w:p>
    <w:p w14:paraId="6F50A3E8" w14:textId="77777777" w:rsidR="00DF2A62" w:rsidRDefault="00DF2A62" w:rsidP="00DF2A62">
      <w:pPr>
        <w:jc w:val="both"/>
      </w:pPr>
    </w:p>
    <w:p w14:paraId="03ACFDA9" w14:textId="11ED0B54" w:rsidR="00DF2A62" w:rsidRPr="00F61B98" w:rsidRDefault="00DF2A62" w:rsidP="00DF2A62">
      <w:pPr>
        <w:jc w:val="both"/>
      </w:pPr>
      <w:r w:rsidRPr="000A0D84">
        <w:t xml:space="preserve"> </w:t>
      </w:r>
      <w:r>
        <w:t>A g</w:t>
      </w:r>
      <w:r w:rsidRPr="000A0D84">
        <w:t>ap</w:t>
      </w:r>
      <w:r>
        <w:t xml:space="preserve"> exists</w:t>
      </w:r>
      <w:r w:rsidRPr="000A0D84">
        <w:t xml:space="preserve"> between nominal and real wage </w:t>
      </w:r>
      <w:r>
        <w:t xml:space="preserve">growth. </w:t>
      </w:r>
      <w:r w:rsidRPr="00F61B98">
        <w:t>Between 2020 and 2025, nominal wages increased by 34.9%; however, once adjusted for inflation, real wages grew by just 6.4%, illustrating the extent to which rising prices have eroded earnings growth over this period</w:t>
      </w:r>
      <w:r>
        <w:t>.</w:t>
      </w:r>
    </w:p>
    <w:p w14:paraId="1E8BF1F8" w14:textId="7BE940E1" w:rsidR="00DF2A62" w:rsidRPr="000A0D84" w:rsidRDefault="00DF2A62" w:rsidP="00DF2A62">
      <w:pPr>
        <w:jc w:val="both"/>
      </w:pPr>
      <w:r w:rsidRPr="000A0D84">
        <w:t xml:space="preserve">Similarly, we have seen five consecutive increases in nominal wages, however, there were two consecutive years of real wage decreases in 2022 and 2023. Post pandemic, the UK experienced high levels of inflation, peaking at 11.1% in 2022 and so despite workers having nominal wage growth, this was outpaced by inflation, leading to a decrease in real wages. More positively, however, the two </w:t>
      </w:r>
      <w:r>
        <w:t xml:space="preserve">recent </w:t>
      </w:r>
      <w:r w:rsidRPr="000A0D84">
        <w:t>consecutive real wage increases are welcome. Nominal wage growth rates consistently outpace real wage growth rates and whilst positive upticks in real wages are present, real wages remain lower than their peak in 2021</w:t>
      </w:r>
      <w:r>
        <w:t xml:space="preserve"> (Figure 6)</w:t>
      </w:r>
      <w:r w:rsidRPr="000A0D84">
        <w:t xml:space="preserve">. </w:t>
      </w:r>
    </w:p>
    <w:p w14:paraId="79CE8C0F" w14:textId="77777777" w:rsidR="00DF2A62" w:rsidRPr="000A0D84" w:rsidRDefault="00DF2A62" w:rsidP="00DF2A62">
      <w:pPr>
        <w:pStyle w:val="Caption"/>
      </w:pPr>
      <w:r w:rsidRPr="000A0D84">
        <w:lastRenderedPageBreak/>
        <w:t xml:space="preserve">Figure </w:t>
      </w:r>
      <w:fldSimple w:instr=" SEQ Figure \* ARABIC ">
        <w:r>
          <w:rPr>
            <w:noProof/>
          </w:rPr>
          <w:t>5</w:t>
        </w:r>
      </w:fldSimple>
      <w:r w:rsidRPr="000A0D84">
        <w:t>: Nominal and Real Wages</w:t>
      </w:r>
    </w:p>
    <w:p w14:paraId="03E01AE8" w14:textId="77777777" w:rsidR="00DF2A62" w:rsidRDefault="00DF2A62" w:rsidP="00DF2A62">
      <w:pPr>
        <w:rPr>
          <w:noProof/>
        </w:rPr>
      </w:pPr>
      <w:r>
        <w:rPr>
          <w:noProof/>
        </w:rPr>
        <w:drawing>
          <wp:anchor distT="0" distB="0" distL="114300" distR="114300" simplePos="0" relativeHeight="251659264" behindDoc="1" locked="0" layoutInCell="1" allowOverlap="1" wp14:anchorId="05865657" wp14:editId="0A4CF902">
            <wp:simplePos x="0" y="0"/>
            <wp:positionH relativeFrom="margin">
              <wp:align>left</wp:align>
            </wp:positionH>
            <wp:positionV relativeFrom="paragraph">
              <wp:posOffset>196850</wp:posOffset>
            </wp:positionV>
            <wp:extent cx="6429375" cy="2895600"/>
            <wp:effectExtent l="0" t="0" r="0" b="0"/>
            <wp:wrapTight wrapText="bothSides">
              <wp:wrapPolygon edited="0">
                <wp:start x="0" y="0"/>
                <wp:lineTo x="0" y="21458"/>
                <wp:lineTo x="21504" y="21458"/>
                <wp:lineTo x="21504" y="0"/>
                <wp:lineTo x="0" y="0"/>
              </wp:wrapPolygon>
            </wp:wrapTight>
            <wp:docPr id="854955230" name="Chart 1" descr="Time-series chart comparing nominal and inflation-adjusted real weekly wages in Northern Ireland. Nominal wages rise more strongly than real wages.">
              <a:extLst xmlns:a="http://schemas.openxmlformats.org/drawingml/2006/main">
                <a:ext uri="{FF2B5EF4-FFF2-40B4-BE49-F238E27FC236}">
                  <a16:creationId xmlns:a16="http://schemas.microsoft.com/office/drawing/2014/main" id="{C7227F2E-F660-DC42-F696-A90AEFAB92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page">
              <wp14:pctWidth>0</wp14:pctWidth>
            </wp14:sizeRelH>
            <wp14:sizeRelV relativeFrom="page">
              <wp14:pctHeight>0</wp14:pctHeight>
            </wp14:sizeRelV>
          </wp:anchor>
        </w:drawing>
      </w:r>
    </w:p>
    <w:p w14:paraId="4774E8B5" w14:textId="683BBA2F" w:rsidR="00DF2A62" w:rsidRPr="000A0D84" w:rsidRDefault="00DF2A62" w:rsidP="00DF2A62">
      <w:r w:rsidRPr="000A0D84">
        <w:t>Source: NISRA, Annual Survey of Hours and Earnings, 2025</w:t>
      </w:r>
    </w:p>
    <w:p w14:paraId="6B104AF5" w14:textId="7D096F89" w:rsidR="00DF2A62" w:rsidRPr="000A0D84" w:rsidRDefault="00DF2A62" w:rsidP="00DF2A62">
      <w:pPr>
        <w:pStyle w:val="Caption"/>
      </w:pPr>
      <w:r w:rsidRPr="000A0D84">
        <w:t xml:space="preserve">Figure </w:t>
      </w:r>
      <w:fldSimple w:instr=" SEQ Figure \* ARABIC ">
        <w:r>
          <w:rPr>
            <w:noProof/>
          </w:rPr>
          <w:t>6</w:t>
        </w:r>
      </w:fldSimple>
      <w:r w:rsidRPr="000A0D84">
        <w:t>: Rates of Nominal and Real Wage Growth</w:t>
      </w:r>
      <w:r w:rsidR="00D11465">
        <w:t xml:space="preserve"> (2005=100)</w:t>
      </w:r>
    </w:p>
    <w:p w14:paraId="6B1885B9" w14:textId="77777777" w:rsidR="00DF2A62" w:rsidRPr="000A0D84" w:rsidRDefault="00DF2A62" w:rsidP="00DF2A62">
      <w:r w:rsidRPr="000A0D84">
        <w:rPr>
          <w:noProof/>
        </w:rPr>
        <w:drawing>
          <wp:inline distT="0" distB="0" distL="0" distR="0" wp14:anchorId="75970D78" wp14:editId="6BC13B59">
            <wp:extent cx="5972175" cy="3162300"/>
            <wp:effectExtent l="0" t="0" r="0" b="0"/>
            <wp:docPr id="645869582" name="Chart 1" descr="Alt text: Line chart comparing annual nominal and real wage growth rates in Northern Ireland. Nominal wage growth consistently exceeds real wage growth. Real wages decline in 2022 and 2023 during high inflation, then return to growth in 2024 and 2025.">
              <a:extLst xmlns:a="http://schemas.openxmlformats.org/drawingml/2006/main">
                <a:ext uri="{FF2B5EF4-FFF2-40B4-BE49-F238E27FC236}">
                  <a16:creationId xmlns:a16="http://schemas.microsoft.com/office/drawing/2014/main" id="{53FDE64D-925E-74D2-EDD9-49DBB72C2C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6CEF9A1" w14:textId="77777777" w:rsidR="00DF2A62" w:rsidRPr="000A0D84" w:rsidRDefault="00DF2A62" w:rsidP="00DF2A62">
      <w:r w:rsidRPr="000A0D84">
        <w:t>Source: NISRA, Annual Survey of Hours and Earnings, 2025</w:t>
      </w:r>
    </w:p>
    <w:p w14:paraId="6D4B4CDC" w14:textId="77777777" w:rsidR="00DF2A62" w:rsidRPr="000A0D84" w:rsidRDefault="00DF2A62" w:rsidP="00DF2A62">
      <w:pPr>
        <w:pStyle w:val="Heading1"/>
      </w:pPr>
      <w:r w:rsidRPr="000A0D84">
        <w:t>Earnings by Age</w:t>
      </w:r>
      <w:r>
        <w:rPr>
          <w:rStyle w:val="EndnoteReference"/>
        </w:rPr>
        <w:endnoteReference w:id="8"/>
      </w:r>
    </w:p>
    <w:p w14:paraId="7CD076AD" w14:textId="77777777" w:rsidR="00DF2A62" w:rsidRDefault="00DF2A62" w:rsidP="00DF2A62">
      <w:pPr>
        <w:jc w:val="both"/>
      </w:pPr>
      <w:r w:rsidRPr="000A0D84">
        <w:t xml:space="preserve">Earnings can differ </w:t>
      </w:r>
      <w:r>
        <w:t xml:space="preserve">significantly </w:t>
      </w:r>
      <w:r w:rsidRPr="000A0D84">
        <w:t>by age</w:t>
      </w:r>
      <w:r>
        <w:t xml:space="preserve"> (Figure 7)</w:t>
      </w:r>
      <w:r w:rsidRPr="000A0D84">
        <w:t>. This article looks at those aged 21</w:t>
      </w:r>
      <w:r>
        <w:t xml:space="preserve"> and over to avoid </w:t>
      </w:r>
      <w:r w:rsidRPr="000A0D84">
        <w:t xml:space="preserve">the results </w:t>
      </w:r>
      <w:r>
        <w:t xml:space="preserve">being </w:t>
      </w:r>
      <w:r w:rsidRPr="000A0D84">
        <w:t xml:space="preserve">skewed by the lower minimum wage rate for those below 21. </w:t>
      </w:r>
    </w:p>
    <w:p w14:paraId="6465B445" w14:textId="77777777" w:rsidR="00DF2A62" w:rsidRPr="00CA12FC" w:rsidRDefault="00DF2A62" w:rsidP="00DF2A62">
      <w:pPr>
        <w:jc w:val="both"/>
      </w:pPr>
      <w:r w:rsidRPr="00CA12FC">
        <w:lastRenderedPageBreak/>
        <w:t>Earnings tend to be lower among younger and older workers. Employees aged 22 to 29 earned £593 per week excluding overtime, compared with £650 for those aged 60 and over. Both figures were below the average for all employees, by £91 and £34 respectively, reflecting the generally lower earnings observed at either end of the age distribution</w:t>
      </w:r>
      <w:r>
        <w:t>.</w:t>
      </w:r>
    </w:p>
    <w:p w14:paraId="2CC1AAC9" w14:textId="7E851459" w:rsidR="00DF2A62" w:rsidRPr="000A0D84" w:rsidRDefault="00DF2A62" w:rsidP="00DF2A62">
      <w:pPr>
        <w:jc w:val="both"/>
      </w:pPr>
      <w:r w:rsidRPr="000A0D84">
        <w:t xml:space="preserve">Those in the middle of their working careers earn the most with those aged 40-49 and 50-59 earning relatively similar amounts of £767 and £762. These results highlight the link between experience and skills as those with more experience are more likely to earn more than those </w:t>
      </w:r>
      <w:r w:rsidR="00276088">
        <w:t xml:space="preserve">only </w:t>
      </w:r>
      <w:r w:rsidRPr="000A0D84">
        <w:t>beginning work. It is also clear that those</w:t>
      </w:r>
      <w:r>
        <w:t xml:space="preserve"> aged</w:t>
      </w:r>
      <w:r w:rsidRPr="000A0D84">
        <w:t xml:space="preserve"> 60+ earn less, this could encompass those who have taken early or partial retirement and are working</w:t>
      </w:r>
      <w:r>
        <w:t xml:space="preserve"> in</w:t>
      </w:r>
      <w:r w:rsidRPr="000A0D84">
        <w:t xml:space="preserve"> lower skilled jobs</w:t>
      </w:r>
      <w:r>
        <w:t>.</w:t>
      </w:r>
    </w:p>
    <w:p w14:paraId="7DA40EC2" w14:textId="77777777" w:rsidR="00581CA3" w:rsidRDefault="00581CA3">
      <w:pPr>
        <w:jc w:val="both"/>
      </w:pPr>
    </w:p>
    <w:p w14:paraId="1CC1B431" w14:textId="77777777" w:rsidR="00DF2A62" w:rsidRPr="000A0D84" w:rsidRDefault="00DF2A62" w:rsidP="00DF2A62">
      <w:pPr>
        <w:pStyle w:val="Caption"/>
      </w:pPr>
      <w:r w:rsidRPr="000A0D84">
        <w:t xml:space="preserve">Figure </w:t>
      </w:r>
      <w:fldSimple w:instr=" SEQ Figure \* ARABIC ">
        <w:r>
          <w:rPr>
            <w:noProof/>
          </w:rPr>
          <w:t>7</w:t>
        </w:r>
      </w:fldSimple>
      <w:r w:rsidRPr="000A0D84">
        <w:t>: Earnings per Week, Excluding Overtime by Age, 2025</w:t>
      </w:r>
    </w:p>
    <w:p w14:paraId="4E2A871A" w14:textId="64822F46" w:rsidR="00DF2A62" w:rsidRPr="000A0D84" w:rsidRDefault="00C53985" w:rsidP="00DF2A62">
      <w:r>
        <w:rPr>
          <w:noProof/>
        </w:rPr>
        <w:drawing>
          <wp:inline distT="0" distB="0" distL="0" distR="0" wp14:anchorId="715C6B51" wp14:editId="376BC193">
            <wp:extent cx="5197475" cy="3028950"/>
            <wp:effectExtent l="0" t="0" r="3175" b="0"/>
            <wp:docPr id="593476780" name="Chart 1" descr="Bar chart showing median weekly earnings, excluding overtime, by age group in Northern Ireland in 2025. Average earnings for all employees is £684.. Earnings rise from £593 among employees aged 22–29 to a peak of £767 for those aged 40–49, remain similar at £762 for ages 50–59, and fall to £650 among employees aged 60 and over.">
              <a:extLst xmlns:a="http://schemas.openxmlformats.org/drawingml/2006/main">
                <a:ext uri="{FF2B5EF4-FFF2-40B4-BE49-F238E27FC236}">
                  <a16:creationId xmlns:a16="http://schemas.microsoft.com/office/drawing/2014/main" id="{E9854F65-23B3-4457-EC6D-5F87FC6057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08DDF57" w14:textId="77777777" w:rsidR="00DF2A62" w:rsidRPr="000A0D84" w:rsidRDefault="00DF2A62" w:rsidP="00DF2A62">
      <w:r w:rsidRPr="000A0D84">
        <w:t>Source: NISRA, ASHE, 2025</w:t>
      </w:r>
    </w:p>
    <w:p w14:paraId="6DBDDFD9" w14:textId="77777777" w:rsidR="00DF2A62" w:rsidRPr="000A0D84" w:rsidRDefault="00DF2A62" w:rsidP="00DF2A62">
      <w:pPr>
        <w:pStyle w:val="Heading1"/>
      </w:pPr>
      <w:r w:rsidRPr="000A0D84">
        <w:t>Job Movers and Stayers</w:t>
      </w:r>
    </w:p>
    <w:p w14:paraId="28418078" w14:textId="7B5334C9" w:rsidR="00DF2A62" w:rsidRPr="000A0D84" w:rsidRDefault="00DF2A62" w:rsidP="00DF2A62">
      <w:pPr>
        <w:jc w:val="both"/>
      </w:pPr>
      <w:r>
        <w:t>Evidence from the ONS, highlights that e</w:t>
      </w:r>
      <w:r w:rsidRPr="000A0D84">
        <w:t>arnings can differ depending on if you are a job mover or a job stayer</w:t>
      </w:r>
      <w:r>
        <w:t xml:space="preserve"> (Figure 8)</w:t>
      </w:r>
      <w:r w:rsidRPr="000A0D84">
        <w:t>.</w:t>
      </w:r>
      <w:r>
        <w:rPr>
          <w:rStyle w:val="EndnoteReference"/>
        </w:rPr>
        <w:endnoteReference w:id="9"/>
      </w:r>
      <w:r w:rsidRPr="000A0D84">
        <w:t xml:space="preserve"> </w:t>
      </w:r>
      <w:r w:rsidR="00276088">
        <w:t xml:space="preserve">This data is outdated and unfortunately there is no recent data available, however it does highlight that </w:t>
      </w:r>
      <w:r w:rsidRPr="000A0D84">
        <w:t xml:space="preserve">Job movers who change jobs within or outside their industry can benefit of an increase in wages. In Northern Ireland, job changers have had consistently higher wage growth than job stayers (Figure 1), with a gap of 9.6 percentage points in 2021(ONS, Job changers and stayers reference table, April 2012 to April 2021). </w:t>
      </w:r>
    </w:p>
    <w:p w14:paraId="73EA4026" w14:textId="77777777" w:rsidR="00DF2A62" w:rsidRPr="000A0D84" w:rsidRDefault="00DF2A62" w:rsidP="00DF2A62">
      <w:pPr>
        <w:pStyle w:val="Caption"/>
      </w:pPr>
      <w:r w:rsidRPr="000A0D84">
        <w:lastRenderedPageBreak/>
        <w:t xml:space="preserve">Figure </w:t>
      </w:r>
      <w:fldSimple w:instr=" SEQ Figure \* ARABIC ">
        <w:r>
          <w:rPr>
            <w:noProof/>
          </w:rPr>
          <w:t>8</w:t>
        </w:r>
      </w:fldSimple>
      <w:r w:rsidRPr="000A0D84">
        <w:t>: Median Wage Growth of Job Stayers and Job Changers, Northern Ireland</w:t>
      </w:r>
    </w:p>
    <w:p w14:paraId="7CABF9B9" w14:textId="77777777" w:rsidR="00DF2A62" w:rsidRPr="000A0D84" w:rsidRDefault="00DF2A62" w:rsidP="00DF2A62">
      <w:r w:rsidRPr="000A0D84">
        <w:rPr>
          <w:noProof/>
        </w:rPr>
        <w:drawing>
          <wp:inline distT="0" distB="0" distL="0" distR="0" wp14:anchorId="4D486B5F" wp14:editId="6E4C0B3A">
            <wp:extent cx="4572000" cy="2743200"/>
            <wp:effectExtent l="0" t="0" r="0" b="0"/>
            <wp:docPr id="775796468" name="Chart 1" descr="Time-series chart comparing median wage growth for job stayers and job changers in Northern Ireland from 2012 to 2021. Job changers consistently record higher wage growth than job stayers, with the difference reaching 9.6 percentage points in 2021.">
              <a:extLst xmlns:a="http://schemas.openxmlformats.org/drawingml/2006/main">
                <a:ext uri="{FF2B5EF4-FFF2-40B4-BE49-F238E27FC236}">
                  <a16:creationId xmlns:a16="http://schemas.microsoft.com/office/drawing/2014/main" id="{81AA78F3-F762-6C27-E27D-300807F673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C981B3A" w14:textId="77777777" w:rsidR="00DF2A62" w:rsidRPr="000A0D84" w:rsidRDefault="00DF2A62" w:rsidP="00DF2A62">
      <w:pPr>
        <w:jc w:val="both"/>
        <w:rPr>
          <w:sz w:val="36"/>
          <w:szCs w:val="36"/>
        </w:rPr>
      </w:pPr>
      <w:r w:rsidRPr="000A0D84">
        <w:t>Source: ONS, Job changers and stayers reference table, April 2012 to April 2021</w:t>
      </w:r>
    </w:p>
    <w:p w14:paraId="22596500" w14:textId="77777777" w:rsidR="00DF2A62" w:rsidRDefault="00DF2A62" w:rsidP="00DF2A62">
      <w:pPr>
        <w:jc w:val="both"/>
      </w:pPr>
      <w:r w:rsidRPr="000A0D84">
        <w:t>However, it must be noted that whilst wage growth for job switchers is higher than for job stayers, annual hourly earnings for job stayers remain higher on average. Those who remained in their current job earned £2.61 per hour more on average in the UK in April 2021 (ONS, Job changers and stayers, understanding earnings, UK: April 2012 to April 2021). The skills and experience gained from staying in a job long-term can result in higher earnings, combined with the more secure nature of longer-term employment.</w:t>
      </w:r>
    </w:p>
    <w:p w14:paraId="4A78B19F" w14:textId="1342EAB8" w:rsidR="00A46557" w:rsidRDefault="00A46557">
      <w:pPr>
        <w:jc w:val="both"/>
        <w:rPr>
          <w:kern w:val="2"/>
          <w:lang w:eastAsia="en-GB"/>
          <w14:ligatures w14:val="standardContextual"/>
        </w:rPr>
      </w:pPr>
      <w:r>
        <w:t>Similar analysis from NISRA</w:t>
      </w:r>
      <w:r>
        <w:rPr>
          <w:rStyle w:val="EndnoteReference"/>
        </w:rPr>
        <w:endnoteReference w:id="10"/>
      </w:r>
      <w:r>
        <w:t xml:space="preserve"> showed that the relatively large increase in real wages for the 22–29 cohort between 2012 and 2022 was partly driven by job moves into higher-paying occupation groups. This illustrates an important feature of the job-mover effect: earnings can rise not only because pay increases within an existing occupation, but also because workers move from lower-paid roles into better-paid occupational groups. This mechanism is particularly relevant for those aged 22–29, who are generally at an earlier stage of their careers and therefore more likely to change jobs as they gain experience, develop skills and progress into higher-skilled work. At the same time, the occupational mix helps to explain why the cohort’s overall pay remains comparatively low, as younger workers are still more concentrated in lower-paying occupations than workers in older age groups.</w:t>
      </w:r>
    </w:p>
    <w:p w14:paraId="25C1ABA8" w14:textId="77777777" w:rsidR="006B227C" w:rsidRDefault="006B227C" w:rsidP="00DF2A62">
      <w:pPr>
        <w:jc w:val="both"/>
      </w:pPr>
    </w:p>
    <w:p w14:paraId="5A847E40" w14:textId="77777777" w:rsidR="00DF2A62" w:rsidRPr="000A0D84" w:rsidRDefault="00DF2A62" w:rsidP="00DF2A62">
      <w:pPr>
        <w:pStyle w:val="Heading1"/>
        <w:jc w:val="both"/>
      </w:pPr>
      <w:r w:rsidRPr="000A0D84">
        <w:t>Conclusion</w:t>
      </w:r>
    </w:p>
    <w:p w14:paraId="618829D8" w14:textId="77777777" w:rsidR="00581CA3" w:rsidRDefault="00000000">
      <w:pPr>
        <w:jc w:val="both"/>
      </w:pPr>
      <w:r w:rsidRPr="000A0D84">
        <w:t xml:space="preserve">In summary, the evidence points to a labour market in Northern Ireland that has delivered strong recent earnings growth, but where important structural challenges remain. </w:t>
      </w:r>
      <w:r w:rsidR="00EB03FB" w:rsidRPr="00EB03FB">
        <w:t>Yes, earnings have grown strongly—</w:t>
      </w:r>
      <w:r w:rsidRPr="000A0D84">
        <w:t xml:space="preserve">outpacing the UK rate </w:t>
      </w:r>
      <w:r w:rsidR="00EB03FB" w:rsidRPr="00EB03FB">
        <w:t>in 2025—but this</w:t>
      </w:r>
      <w:r w:rsidRPr="000A0D84">
        <w:t xml:space="preserve"> growth</w:t>
      </w:r>
      <w:r w:rsidR="00EB03FB" w:rsidRPr="00EB03FB">
        <w:t xml:space="preserve"> has come from a relatively low base, with median weekly earnings still around 7.5% below the UK average</w:t>
      </w:r>
      <w:r w:rsidRPr="000A0D84">
        <w:t xml:space="preserve"> and </w:t>
      </w:r>
      <w:r w:rsidR="00EB03FB" w:rsidRPr="00EB03FB">
        <w:t>Northern Ireland remaining among the UK’s lower-earning regions. Real</w:t>
      </w:r>
      <w:r w:rsidRPr="000A0D84">
        <w:t xml:space="preserve"> wages have also </w:t>
      </w:r>
      <w:r w:rsidRPr="000A0D84">
        <w:lastRenderedPageBreak/>
        <w:t>recovered following the inflation-driven declines seen in 2022 and 2023</w:t>
      </w:r>
      <w:r w:rsidR="00EB03FB" w:rsidRPr="00EB03FB">
        <w:t>, representing</w:t>
      </w:r>
      <w:r w:rsidRPr="000A0D84">
        <w:t xml:space="preserve"> a meaningful improvement in household purchasing power, although real earnings remain constrained relative to earlier peaks and nominal gains continue to overstate underlying improvements in living standards.</w:t>
      </w:r>
    </w:p>
    <w:p w14:paraId="2D99CD0D" w14:textId="77777777" w:rsidR="00DF2A62" w:rsidRDefault="00DF2A62" w:rsidP="00DF2A62">
      <w:pPr>
        <w:jc w:val="both"/>
      </w:pPr>
      <w:r>
        <w:t>The</w:t>
      </w:r>
      <w:r w:rsidRPr="000A0D84">
        <w:t xml:space="preserve"> proportion of employees earning below the Real Living Wage has </w:t>
      </w:r>
      <w:r>
        <w:t>fallen over time</w:t>
      </w:r>
      <w:r w:rsidRPr="000A0D84">
        <w:t xml:space="preserve">, </w:t>
      </w:r>
      <w:r>
        <w:t>however</w:t>
      </w:r>
      <w:r w:rsidRPr="000A0D84">
        <w:t xml:space="preserve">, Northern Ireland still records a comparatively high share of low-paid work </w:t>
      </w:r>
      <w:r>
        <w:t xml:space="preserve">relative to other </w:t>
      </w:r>
      <w:r w:rsidRPr="000A0D84">
        <w:t xml:space="preserve">UK </w:t>
      </w:r>
      <w:r>
        <w:t xml:space="preserve">regions. This indicates that progress in improving pay outcomes </w:t>
      </w:r>
      <w:r w:rsidRPr="000A0D84">
        <w:t xml:space="preserve">has been uneven </w:t>
      </w:r>
      <w:r>
        <w:t xml:space="preserve">across the labour market, with the benefits of </w:t>
      </w:r>
      <w:r w:rsidRPr="000A0D84">
        <w:t>wage growth distributed un</w:t>
      </w:r>
      <w:r>
        <w:t xml:space="preserve">evenly among different groups of workers. </w:t>
      </w:r>
      <w:r w:rsidRPr="00627BA0">
        <w:t xml:space="preserve">The analysis presented in this article </w:t>
      </w:r>
      <w:r>
        <w:t>demonstrates</w:t>
      </w:r>
      <w:r w:rsidRPr="000A0D84">
        <w:t xml:space="preserve"> that earnings outcomes remain closely associated with occupation, qualification level, age and labour market mobility. </w:t>
      </w:r>
    </w:p>
    <w:p w14:paraId="005C47BD" w14:textId="61A5E646" w:rsidR="00DF2A62" w:rsidRPr="006614EE" w:rsidRDefault="00DF2A62" w:rsidP="00DF2A62">
      <w:pPr>
        <w:jc w:val="both"/>
      </w:pPr>
      <w:r w:rsidRPr="000A0D84">
        <w:t xml:space="preserve">Higher-paid professional and managerial roles continue to align with stronger Good Jobs </w:t>
      </w:r>
      <w:r>
        <w:t>proportions</w:t>
      </w:r>
      <w:r w:rsidRPr="000A0D84">
        <w:t xml:space="preserve">, while lower-paid </w:t>
      </w:r>
      <w:r>
        <w:t>sales</w:t>
      </w:r>
      <w:r w:rsidRPr="000A0D84">
        <w:t xml:space="preserve"> roles </w:t>
      </w:r>
      <w:r>
        <w:t>align less</w:t>
      </w:r>
      <w:r w:rsidRPr="000A0D84">
        <w:t xml:space="preserve">. Similarly, qualifications continue to deliver an earnings premium, although that premium has narrowed as </w:t>
      </w:r>
      <w:r w:rsidR="00276088">
        <w:t xml:space="preserve">lower skilled jobs have seen strong wage growth.  </w:t>
      </w:r>
      <w:r w:rsidRPr="000A0D84">
        <w:t xml:space="preserve">Age patterns suggest that earnings tend to strengthen through mid-career before softening later in working life, while job mobility can support faster pay progression even if longer-term job stayers often retain </w:t>
      </w:r>
      <w:r>
        <w:t xml:space="preserve">an </w:t>
      </w:r>
      <w:r w:rsidRPr="000A0D84">
        <w:t>advantag</w:t>
      </w:r>
      <w:r>
        <w:t>e. Whilst</w:t>
      </w:r>
      <w:r w:rsidRPr="000A0D84">
        <w:t xml:space="preserve"> recent earnings performance is encouraging, further progress will depend not only on sustaining wage growth, but on expanding access to better-paid, higher-productivity employment across a wider share of the workforce.</w:t>
      </w:r>
      <w:r>
        <w:t xml:space="preserve"> C</w:t>
      </w:r>
      <w:r w:rsidRPr="006614EE">
        <w:t>ontinued efforts to improve skills, productivity and access to well-paid employment will be important in supporting the Department</w:t>
      </w:r>
      <w:r>
        <w:t>’s</w:t>
      </w:r>
      <w:r w:rsidRPr="006614EE">
        <w:t xml:space="preserve"> ambition of increasing the number of working-age people in Good Jobs.</w:t>
      </w:r>
    </w:p>
    <w:p w14:paraId="5CC469DD" w14:textId="459291AA" w:rsidR="000A3E96" w:rsidRDefault="000A3E96" w:rsidP="00F77797"/>
    <w:p w14:paraId="31BD93C8" w14:textId="130993C4" w:rsidR="00BE1EB9" w:rsidRPr="00BD2031" w:rsidRDefault="00DF2A62" w:rsidP="00F77797">
      <w:pPr>
        <w:rPr>
          <w:b/>
        </w:rPr>
      </w:pPr>
      <w:r>
        <w:rPr>
          <w:b/>
        </w:rPr>
        <w:t>Sam Quinlan</w:t>
      </w:r>
    </w:p>
    <w:p w14:paraId="50DB384C" w14:textId="47569326" w:rsidR="00581CA3" w:rsidRDefault="00BE1EB9" w:rsidP="00F77797">
      <w:pPr>
        <w:pStyle w:val="Sourcenonote"/>
      </w:pPr>
      <w:r>
        <w:t xml:space="preserve">For further information or queries please contact </w:t>
      </w:r>
      <w:hyperlink r:id="rId16" w:history="1">
        <w:r w:rsidR="00DF2A62" w:rsidRPr="005B4C15">
          <w:rPr>
            <w:rStyle w:val="Hyperlink"/>
          </w:rPr>
          <w:t>analyticalservices@economy-ni.gov.uk</w:t>
        </w:r>
      </w:hyperlink>
      <w:r w:rsidR="00DF2A62">
        <w:t xml:space="preserve"> </w:t>
      </w:r>
    </w:p>
    <w:sectPr w:rsidR="00581CA3" w:rsidSect="00E8594B">
      <w:footerReference w:type="default" r:id="rId17"/>
      <w:headerReference w:type="first" r:id="rId18"/>
      <w:pgSz w:w="11906" w:h="16838"/>
      <w:pgMar w:top="1440" w:right="1080" w:bottom="1440" w:left="108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1809A" w14:textId="77777777" w:rsidR="00E122BB" w:rsidRDefault="00E122BB" w:rsidP="00F77797">
      <w:r>
        <w:separator/>
      </w:r>
    </w:p>
  </w:endnote>
  <w:endnote w:type="continuationSeparator" w:id="0">
    <w:p w14:paraId="588654C1" w14:textId="77777777" w:rsidR="00E122BB" w:rsidRDefault="00E122BB" w:rsidP="00F77797">
      <w:r>
        <w:continuationSeparator/>
      </w:r>
    </w:p>
  </w:endnote>
  <w:endnote w:type="continuationNotice" w:id="1">
    <w:p w14:paraId="0A762079" w14:textId="77777777" w:rsidR="00E122BB" w:rsidRDefault="00E122BB" w:rsidP="00F77797"/>
  </w:endnote>
  <w:endnote w:id="2">
    <w:p w14:paraId="367636A5" w14:textId="77777777" w:rsidR="00DF2A62" w:rsidRPr="009C03AE" w:rsidRDefault="00DF2A62" w:rsidP="00DF2A62">
      <w:pPr>
        <w:pStyle w:val="EndnoteText"/>
        <w:rPr>
          <w:lang w:val="en-US"/>
        </w:rPr>
      </w:pPr>
      <w:r>
        <w:rPr>
          <w:rStyle w:val="EndnoteReference"/>
        </w:rPr>
        <w:endnoteRef/>
      </w:r>
      <w:r>
        <w:t xml:space="preserve"> </w:t>
      </w:r>
      <w:hyperlink r:id="rId1" w:history="1">
        <w:r>
          <w:rPr>
            <w:rStyle w:val="Hyperlink"/>
          </w:rPr>
          <w:t>NISRA, ASHE, 2025</w:t>
        </w:r>
      </w:hyperlink>
    </w:p>
  </w:endnote>
  <w:endnote w:id="3">
    <w:p w14:paraId="701B306E" w14:textId="77777777" w:rsidR="00DF2A62" w:rsidRPr="0026528E" w:rsidRDefault="00DF2A62" w:rsidP="00DF2A62">
      <w:pPr>
        <w:pStyle w:val="EndnoteText"/>
        <w:rPr>
          <w:lang w:val="en-US"/>
        </w:rPr>
      </w:pPr>
      <w:r>
        <w:rPr>
          <w:rStyle w:val="EndnoteReference"/>
        </w:rPr>
        <w:endnoteRef/>
      </w:r>
      <w:r>
        <w:t xml:space="preserve"> </w:t>
      </w:r>
      <w:hyperlink r:id="rId2" w:history="1">
        <w:r>
          <w:rPr>
            <w:rStyle w:val="Hyperlink"/>
          </w:rPr>
          <w:t>The Living Wage Foundation, Economic Impact of the Living Wage, 2026</w:t>
        </w:r>
      </w:hyperlink>
    </w:p>
  </w:endnote>
  <w:endnote w:id="4">
    <w:p w14:paraId="5E1DD9A8" w14:textId="77777777" w:rsidR="00DF2A62" w:rsidRPr="00927BDF" w:rsidRDefault="00DF2A62" w:rsidP="00DF2A62">
      <w:pPr>
        <w:pStyle w:val="EndnoteText"/>
        <w:rPr>
          <w:lang w:val="en-US"/>
        </w:rPr>
      </w:pPr>
      <w:r w:rsidRPr="000A0D84">
        <w:rPr>
          <w:rStyle w:val="EndnoteReference"/>
        </w:rPr>
        <w:endnoteRef/>
      </w:r>
      <w:r w:rsidRPr="000A0D84">
        <w:t xml:space="preserve"> </w:t>
      </w:r>
      <w:hyperlink r:id="rId3" w:history="1">
        <w:r>
          <w:rPr>
            <w:rStyle w:val="Hyperlink"/>
          </w:rPr>
          <w:t>The Living Wage Foundation, The Real Living Wage as Civil Regulation: An Assessment, 2025</w:t>
        </w:r>
      </w:hyperlink>
    </w:p>
  </w:endnote>
  <w:endnote w:id="5">
    <w:p w14:paraId="3A33D8E0" w14:textId="77777777" w:rsidR="00DF2A62" w:rsidRPr="0026528E" w:rsidRDefault="00DF2A62" w:rsidP="00DF2A62">
      <w:pPr>
        <w:pStyle w:val="EndnoteText"/>
        <w:rPr>
          <w:lang w:val="en-US"/>
        </w:rPr>
      </w:pPr>
      <w:r>
        <w:rPr>
          <w:rStyle w:val="EndnoteReference"/>
        </w:rPr>
        <w:endnoteRef/>
      </w:r>
      <w:r>
        <w:t xml:space="preserve"> </w:t>
      </w:r>
      <w:hyperlink r:id="rId4" w:history="1">
        <w:r>
          <w:rPr>
            <w:rStyle w:val="Hyperlink"/>
          </w:rPr>
          <w:t>NISRA, ASHE, 2025</w:t>
        </w:r>
      </w:hyperlink>
    </w:p>
  </w:endnote>
  <w:endnote w:id="6">
    <w:p w14:paraId="7213D0DB" w14:textId="77777777" w:rsidR="00DF2A62" w:rsidRPr="0026528E" w:rsidRDefault="00DF2A62" w:rsidP="00DF2A62">
      <w:pPr>
        <w:pStyle w:val="EndnoteText"/>
        <w:rPr>
          <w:lang w:val="en-US"/>
        </w:rPr>
      </w:pPr>
      <w:r>
        <w:rPr>
          <w:rStyle w:val="EndnoteReference"/>
        </w:rPr>
        <w:endnoteRef/>
      </w:r>
      <w:r>
        <w:t xml:space="preserve"> </w:t>
      </w:r>
      <w:hyperlink r:id="rId5" w:history="1">
        <w:r>
          <w:rPr>
            <w:rStyle w:val="Hyperlink"/>
          </w:rPr>
          <w:t>NISRA, Good Jobs, 2024</w:t>
        </w:r>
      </w:hyperlink>
    </w:p>
  </w:endnote>
  <w:endnote w:id="7">
    <w:p w14:paraId="7D404655" w14:textId="77777777" w:rsidR="00DF2A62" w:rsidRPr="00CC59E8" w:rsidRDefault="00DF2A62" w:rsidP="00DF2A62">
      <w:pPr>
        <w:pStyle w:val="EndnoteText"/>
        <w:rPr>
          <w:lang w:val="en-US"/>
        </w:rPr>
      </w:pPr>
      <w:r>
        <w:rPr>
          <w:rStyle w:val="EndnoteReference"/>
        </w:rPr>
        <w:endnoteRef/>
      </w:r>
      <w:r>
        <w:t xml:space="preserve"> </w:t>
      </w:r>
      <w:hyperlink r:id="rId6" w:history="1">
        <w:r>
          <w:rPr>
            <w:rStyle w:val="Hyperlink"/>
          </w:rPr>
          <w:t>UUEPC, LMI Dashboard</w:t>
        </w:r>
      </w:hyperlink>
    </w:p>
  </w:endnote>
  <w:endnote w:id="8">
    <w:p w14:paraId="4C62C1F1" w14:textId="77777777" w:rsidR="00DF2A62" w:rsidRPr="00CC59E8" w:rsidRDefault="00DF2A62" w:rsidP="00DF2A62">
      <w:pPr>
        <w:pStyle w:val="EndnoteText"/>
        <w:rPr>
          <w:lang w:val="en-US"/>
        </w:rPr>
      </w:pPr>
      <w:r>
        <w:rPr>
          <w:rStyle w:val="EndnoteReference"/>
        </w:rPr>
        <w:endnoteRef/>
      </w:r>
      <w:r>
        <w:t xml:space="preserve"> </w:t>
      </w:r>
      <w:hyperlink r:id="rId7" w:history="1">
        <w:r>
          <w:rPr>
            <w:rStyle w:val="Hyperlink"/>
          </w:rPr>
          <w:t>NISRA, ASHE, 2025</w:t>
        </w:r>
      </w:hyperlink>
    </w:p>
  </w:endnote>
  <w:endnote w:id="9">
    <w:p w14:paraId="03B71BF6" w14:textId="77777777" w:rsidR="00DF2A62" w:rsidRPr="00412FB0" w:rsidRDefault="00DF2A62" w:rsidP="00DF2A62">
      <w:pPr>
        <w:pStyle w:val="EndnoteText"/>
        <w:rPr>
          <w:lang w:val="en-US"/>
        </w:rPr>
      </w:pPr>
      <w:r>
        <w:rPr>
          <w:rStyle w:val="EndnoteReference"/>
        </w:rPr>
        <w:endnoteRef/>
      </w:r>
      <w:r>
        <w:t xml:space="preserve"> </w:t>
      </w:r>
      <w:hyperlink r:id="rId8" w:history="1">
        <w:r>
          <w:rPr>
            <w:rStyle w:val="Hyperlink"/>
          </w:rPr>
          <w:t>ONS, Job changers and stayers, 2021</w:t>
        </w:r>
      </w:hyperlink>
    </w:p>
  </w:endnote>
  <w:endnote w:id="10">
    <w:p w14:paraId="0933530A" w14:textId="497B11F5" w:rsidR="00A46557" w:rsidRPr="00A46557" w:rsidRDefault="00A46557">
      <w:pPr>
        <w:pStyle w:val="EndnoteText"/>
        <w:rPr>
          <w:lang w:val="en-US"/>
        </w:rPr>
      </w:pPr>
      <w:r>
        <w:rPr>
          <w:rStyle w:val="EndnoteReference"/>
        </w:rPr>
        <w:endnoteRef/>
      </w:r>
      <w:r>
        <w:t xml:space="preserve"> </w:t>
      </w:r>
      <w:hyperlink r:id="rId9" w:history="1">
        <w:r>
          <w:rPr>
            <w:rStyle w:val="Hyperlink"/>
          </w:rPr>
          <w:t>NISRA, Real Earnings in Northern Ireland, 2022</w:t>
        </w:r>
      </w:hyperlink>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eelawadee">
    <w:panose1 w:val="020B0502040204020203"/>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8826116"/>
      <w:docPartObj>
        <w:docPartGallery w:val="Page Numbers (Bottom of Page)"/>
        <w:docPartUnique/>
      </w:docPartObj>
    </w:sdtPr>
    <w:sdtContent>
      <w:p w14:paraId="2F0A698C" w14:textId="77777777" w:rsidR="006270C8" w:rsidRPr="00893A41" w:rsidRDefault="006270C8" w:rsidP="00F77797">
        <w:pPr>
          <w:pStyle w:val="Footer"/>
        </w:pPr>
        <w:r w:rsidRPr="00893A41">
          <w:t xml:space="preserve">Page | </w:t>
        </w:r>
        <w:r w:rsidRPr="00893A41">
          <w:fldChar w:fldCharType="begin"/>
        </w:r>
        <w:r w:rsidRPr="00893A41">
          <w:instrText xml:space="preserve"> PAGE   \* MERGEFORMAT </w:instrText>
        </w:r>
        <w:r w:rsidRPr="00893A41">
          <w:fldChar w:fldCharType="separate"/>
        </w:r>
        <w:r w:rsidR="00BD2031">
          <w:rPr>
            <w:noProof/>
          </w:rPr>
          <w:t>1</w:t>
        </w:r>
        <w:r w:rsidRPr="00893A41">
          <w:rPr>
            <w:noProof/>
          </w:rPr>
          <w:fldChar w:fldCharType="end"/>
        </w:r>
        <w:r w:rsidRPr="00893A41">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075F8" w14:textId="77777777" w:rsidR="00E122BB" w:rsidRDefault="00E122BB" w:rsidP="00F77797">
      <w:r>
        <w:separator/>
      </w:r>
    </w:p>
  </w:footnote>
  <w:footnote w:type="continuationSeparator" w:id="0">
    <w:p w14:paraId="6EE0BDCF" w14:textId="77777777" w:rsidR="00E122BB" w:rsidRDefault="00E122BB" w:rsidP="00F77797">
      <w:r>
        <w:continuationSeparator/>
      </w:r>
    </w:p>
  </w:footnote>
  <w:footnote w:type="continuationNotice" w:id="1">
    <w:p w14:paraId="7DCA4EB3" w14:textId="77777777" w:rsidR="00E122BB" w:rsidRDefault="00E122BB" w:rsidP="00F777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839D3" w14:textId="77777777" w:rsidR="00DD012F" w:rsidRPr="00EA6B22" w:rsidRDefault="00DD012F" w:rsidP="00F77797">
    <w:r w:rsidRPr="00EA6B22">
      <w:t>Research Bulletin 17/1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3C24DD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54461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3286FA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FA86F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4808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A457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9DCE5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48C44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04588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EAE86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D20C42"/>
    <w:multiLevelType w:val="hybridMultilevel"/>
    <w:tmpl w:val="D820D4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5191B40"/>
    <w:multiLevelType w:val="hybridMultilevel"/>
    <w:tmpl w:val="330CD7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3F0E96"/>
    <w:multiLevelType w:val="hybridMultilevel"/>
    <w:tmpl w:val="4E7AF6D8"/>
    <w:lvl w:ilvl="0" w:tplc="454E4EF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pStyle w:val="Heading9"/>
      <w:lvlText w:val="%9."/>
      <w:lvlJc w:val="right"/>
      <w:pPr>
        <w:ind w:left="6120" w:hanging="180"/>
      </w:pPr>
    </w:lvl>
  </w:abstractNum>
  <w:abstractNum w:abstractNumId="13" w15:restartNumberingAfterBreak="0">
    <w:nsid w:val="6C275BB6"/>
    <w:multiLevelType w:val="multilevel"/>
    <w:tmpl w:val="2B00F262"/>
    <w:lvl w:ilvl="0">
      <w:start w:val="1"/>
      <w:numFmt w:val="decimal"/>
      <w:lvlText w:val="%1."/>
      <w:lvlJc w:val="left"/>
      <w:pPr>
        <w:ind w:left="432" w:hanging="432"/>
      </w:pPr>
      <w:rPr>
        <w:rFonts w:hint="default"/>
        <w:sz w:val="28"/>
        <w:szCs w:val="28"/>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527567374">
    <w:abstractNumId w:val="12"/>
  </w:num>
  <w:num w:numId="2" w16cid:durableId="362554905">
    <w:abstractNumId w:val="10"/>
  </w:num>
  <w:num w:numId="3" w16cid:durableId="742139067">
    <w:abstractNumId w:val="13"/>
  </w:num>
  <w:num w:numId="4" w16cid:durableId="132602565">
    <w:abstractNumId w:val="13"/>
  </w:num>
  <w:num w:numId="5" w16cid:durableId="77602248">
    <w:abstractNumId w:val="13"/>
  </w:num>
  <w:num w:numId="6" w16cid:durableId="240145322">
    <w:abstractNumId w:val="13"/>
  </w:num>
  <w:num w:numId="7" w16cid:durableId="266811919">
    <w:abstractNumId w:val="13"/>
  </w:num>
  <w:num w:numId="8" w16cid:durableId="1617954169">
    <w:abstractNumId w:val="13"/>
  </w:num>
  <w:num w:numId="9" w16cid:durableId="1673414455">
    <w:abstractNumId w:val="13"/>
  </w:num>
  <w:num w:numId="10" w16cid:durableId="439616249">
    <w:abstractNumId w:val="13"/>
  </w:num>
  <w:num w:numId="11" w16cid:durableId="999885761">
    <w:abstractNumId w:val="13"/>
  </w:num>
  <w:num w:numId="12" w16cid:durableId="1168864464">
    <w:abstractNumId w:val="13"/>
  </w:num>
  <w:num w:numId="13" w16cid:durableId="39979136">
    <w:abstractNumId w:val="13"/>
  </w:num>
  <w:num w:numId="14" w16cid:durableId="1975023345">
    <w:abstractNumId w:val="13"/>
  </w:num>
  <w:num w:numId="15" w16cid:durableId="930503334">
    <w:abstractNumId w:val="13"/>
  </w:num>
  <w:num w:numId="16" w16cid:durableId="228342773">
    <w:abstractNumId w:val="13"/>
  </w:num>
  <w:num w:numId="17" w16cid:durableId="741222930">
    <w:abstractNumId w:val="13"/>
  </w:num>
  <w:num w:numId="18" w16cid:durableId="589387763">
    <w:abstractNumId w:val="13"/>
  </w:num>
  <w:num w:numId="19" w16cid:durableId="1882133848">
    <w:abstractNumId w:val="13"/>
  </w:num>
  <w:num w:numId="20" w16cid:durableId="1680766641">
    <w:abstractNumId w:val="13"/>
  </w:num>
  <w:num w:numId="21" w16cid:durableId="396094">
    <w:abstractNumId w:val="13"/>
  </w:num>
  <w:num w:numId="22" w16cid:durableId="1439984647">
    <w:abstractNumId w:val="13"/>
  </w:num>
  <w:num w:numId="23" w16cid:durableId="1041054155">
    <w:abstractNumId w:val="13"/>
  </w:num>
  <w:num w:numId="24" w16cid:durableId="589390007">
    <w:abstractNumId w:val="9"/>
  </w:num>
  <w:num w:numId="25" w16cid:durableId="771511613">
    <w:abstractNumId w:val="7"/>
  </w:num>
  <w:num w:numId="26" w16cid:durableId="1750493024">
    <w:abstractNumId w:val="6"/>
  </w:num>
  <w:num w:numId="27" w16cid:durableId="1031229383">
    <w:abstractNumId w:val="5"/>
  </w:num>
  <w:num w:numId="28" w16cid:durableId="955138114">
    <w:abstractNumId w:val="4"/>
  </w:num>
  <w:num w:numId="29" w16cid:durableId="1004891705">
    <w:abstractNumId w:val="8"/>
  </w:num>
  <w:num w:numId="30" w16cid:durableId="1324167308">
    <w:abstractNumId w:val="3"/>
  </w:num>
  <w:num w:numId="31" w16cid:durableId="577249124">
    <w:abstractNumId w:val="2"/>
  </w:num>
  <w:num w:numId="32" w16cid:durableId="1867913389">
    <w:abstractNumId w:val="1"/>
  </w:num>
  <w:num w:numId="33" w16cid:durableId="1429040034">
    <w:abstractNumId w:val="0"/>
  </w:num>
  <w:num w:numId="34" w16cid:durableId="352347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efaultTableStyle w:val="ResearchBullet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275"/>
    <w:rsid w:val="00010E2C"/>
    <w:rsid w:val="00012120"/>
    <w:rsid w:val="000138B3"/>
    <w:rsid w:val="000147E5"/>
    <w:rsid w:val="00024A2F"/>
    <w:rsid w:val="00027D0C"/>
    <w:rsid w:val="00045D28"/>
    <w:rsid w:val="000460E4"/>
    <w:rsid w:val="000520A5"/>
    <w:rsid w:val="000544BF"/>
    <w:rsid w:val="00057ED9"/>
    <w:rsid w:val="00065177"/>
    <w:rsid w:val="000678FE"/>
    <w:rsid w:val="00094CA3"/>
    <w:rsid w:val="000A3E96"/>
    <w:rsid w:val="000A42A9"/>
    <w:rsid w:val="000B46EB"/>
    <w:rsid w:val="000E0D9E"/>
    <w:rsid w:val="000E1D14"/>
    <w:rsid w:val="0010168D"/>
    <w:rsid w:val="001035AC"/>
    <w:rsid w:val="00107A03"/>
    <w:rsid w:val="0011412B"/>
    <w:rsid w:val="001279C2"/>
    <w:rsid w:val="00130910"/>
    <w:rsid w:val="00136120"/>
    <w:rsid w:val="0014117C"/>
    <w:rsid w:val="00151B3C"/>
    <w:rsid w:val="00154955"/>
    <w:rsid w:val="00155D43"/>
    <w:rsid w:val="001602E5"/>
    <w:rsid w:val="0017741C"/>
    <w:rsid w:val="00183CC0"/>
    <w:rsid w:val="0018618A"/>
    <w:rsid w:val="001869F8"/>
    <w:rsid w:val="00187306"/>
    <w:rsid w:val="00192A39"/>
    <w:rsid w:val="00192AB5"/>
    <w:rsid w:val="001A7544"/>
    <w:rsid w:val="001C1EB4"/>
    <w:rsid w:val="001C4FBF"/>
    <w:rsid w:val="001C7C83"/>
    <w:rsid w:val="001D3266"/>
    <w:rsid w:val="001D4882"/>
    <w:rsid w:val="001E5CE4"/>
    <w:rsid w:val="001E6147"/>
    <w:rsid w:val="001F0DD5"/>
    <w:rsid w:val="00203465"/>
    <w:rsid w:val="002162E2"/>
    <w:rsid w:val="0022126D"/>
    <w:rsid w:val="002338E9"/>
    <w:rsid w:val="00242ABD"/>
    <w:rsid w:val="00276088"/>
    <w:rsid w:val="002765CE"/>
    <w:rsid w:val="00284032"/>
    <w:rsid w:val="002923F3"/>
    <w:rsid w:val="00294C30"/>
    <w:rsid w:val="002960EF"/>
    <w:rsid w:val="00297A94"/>
    <w:rsid w:val="002A21A6"/>
    <w:rsid w:val="002A7B9F"/>
    <w:rsid w:val="002B4459"/>
    <w:rsid w:val="002B7E13"/>
    <w:rsid w:val="002C136A"/>
    <w:rsid w:val="002D53B6"/>
    <w:rsid w:val="002E243E"/>
    <w:rsid w:val="003052B0"/>
    <w:rsid w:val="00313E9A"/>
    <w:rsid w:val="00317D27"/>
    <w:rsid w:val="00320A1D"/>
    <w:rsid w:val="003263BB"/>
    <w:rsid w:val="00326FCB"/>
    <w:rsid w:val="00334E94"/>
    <w:rsid w:val="00335654"/>
    <w:rsid w:val="00337D45"/>
    <w:rsid w:val="00342CB6"/>
    <w:rsid w:val="00350640"/>
    <w:rsid w:val="0035263E"/>
    <w:rsid w:val="0035494F"/>
    <w:rsid w:val="003567E6"/>
    <w:rsid w:val="00363E40"/>
    <w:rsid w:val="0036404C"/>
    <w:rsid w:val="00385E37"/>
    <w:rsid w:val="00386436"/>
    <w:rsid w:val="0038784D"/>
    <w:rsid w:val="003B4060"/>
    <w:rsid w:val="003D3ED6"/>
    <w:rsid w:val="003D5626"/>
    <w:rsid w:val="003E2D9E"/>
    <w:rsid w:val="003F6CC9"/>
    <w:rsid w:val="003F6CDF"/>
    <w:rsid w:val="0041382C"/>
    <w:rsid w:val="00426F8A"/>
    <w:rsid w:val="0044704A"/>
    <w:rsid w:val="004608F1"/>
    <w:rsid w:val="00475584"/>
    <w:rsid w:val="00476184"/>
    <w:rsid w:val="00480446"/>
    <w:rsid w:val="00480468"/>
    <w:rsid w:val="004866DC"/>
    <w:rsid w:val="004A08B0"/>
    <w:rsid w:val="004A099A"/>
    <w:rsid w:val="004B1F4D"/>
    <w:rsid w:val="004B70AF"/>
    <w:rsid w:val="004C14A3"/>
    <w:rsid w:val="004E03AC"/>
    <w:rsid w:val="004E73F2"/>
    <w:rsid w:val="004F4022"/>
    <w:rsid w:val="004F63FD"/>
    <w:rsid w:val="00503A8B"/>
    <w:rsid w:val="00515F7D"/>
    <w:rsid w:val="00537691"/>
    <w:rsid w:val="00571B68"/>
    <w:rsid w:val="00581CA3"/>
    <w:rsid w:val="00583D04"/>
    <w:rsid w:val="00584D99"/>
    <w:rsid w:val="00593FBB"/>
    <w:rsid w:val="005A52BB"/>
    <w:rsid w:val="005B2D77"/>
    <w:rsid w:val="005C0B00"/>
    <w:rsid w:val="005C0D89"/>
    <w:rsid w:val="005C2E5B"/>
    <w:rsid w:val="005C5D5C"/>
    <w:rsid w:val="005F0D37"/>
    <w:rsid w:val="005F1F45"/>
    <w:rsid w:val="005F7A4C"/>
    <w:rsid w:val="006015A9"/>
    <w:rsid w:val="00603E0E"/>
    <w:rsid w:val="006270C8"/>
    <w:rsid w:val="00630D27"/>
    <w:rsid w:val="00635432"/>
    <w:rsid w:val="00635D6E"/>
    <w:rsid w:val="006535AB"/>
    <w:rsid w:val="00666831"/>
    <w:rsid w:val="00671572"/>
    <w:rsid w:val="0068253E"/>
    <w:rsid w:val="006912BD"/>
    <w:rsid w:val="00692274"/>
    <w:rsid w:val="006B227C"/>
    <w:rsid w:val="006E5BC5"/>
    <w:rsid w:val="006F0DF0"/>
    <w:rsid w:val="006F28A6"/>
    <w:rsid w:val="006F2E39"/>
    <w:rsid w:val="00704225"/>
    <w:rsid w:val="0071114B"/>
    <w:rsid w:val="007132A8"/>
    <w:rsid w:val="00721F5E"/>
    <w:rsid w:val="007378D5"/>
    <w:rsid w:val="00741609"/>
    <w:rsid w:val="0074481A"/>
    <w:rsid w:val="0074667E"/>
    <w:rsid w:val="007505A9"/>
    <w:rsid w:val="00750CDC"/>
    <w:rsid w:val="00756E50"/>
    <w:rsid w:val="00760249"/>
    <w:rsid w:val="00761B40"/>
    <w:rsid w:val="00771936"/>
    <w:rsid w:val="00772CD8"/>
    <w:rsid w:val="00773717"/>
    <w:rsid w:val="007801A1"/>
    <w:rsid w:val="00782826"/>
    <w:rsid w:val="007848B6"/>
    <w:rsid w:val="00791F28"/>
    <w:rsid w:val="007978A6"/>
    <w:rsid w:val="007979A9"/>
    <w:rsid w:val="007B01ED"/>
    <w:rsid w:val="007B23BF"/>
    <w:rsid w:val="007C1556"/>
    <w:rsid w:val="007C6D9B"/>
    <w:rsid w:val="007D1EF0"/>
    <w:rsid w:val="007E0514"/>
    <w:rsid w:val="007F2FDF"/>
    <w:rsid w:val="007F52AF"/>
    <w:rsid w:val="008016AB"/>
    <w:rsid w:val="00802F6A"/>
    <w:rsid w:val="00804A71"/>
    <w:rsid w:val="00806B0E"/>
    <w:rsid w:val="00811856"/>
    <w:rsid w:val="0082669E"/>
    <w:rsid w:val="00832BE5"/>
    <w:rsid w:val="0083438E"/>
    <w:rsid w:val="0083682F"/>
    <w:rsid w:val="00837269"/>
    <w:rsid w:val="00847A45"/>
    <w:rsid w:val="0085673A"/>
    <w:rsid w:val="00876DDB"/>
    <w:rsid w:val="0087755D"/>
    <w:rsid w:val="008821D7"/>
    <w:rsid w:val="00884447"/>
    <w:rsid w:val="008873B5"/>
    <w:rsid w:val="008912C8"/>
    <w:rsid w:val="008932A7"/>
    <w:rsid w:val="00893A41"/>
    <w:rsid w:val="008A2990"/>
    <w:rsid w:val="008C2A7F"/>
    <w:rsid w:val="008C3C24"/>
    <w:rsid w:val="008C5FBC"/>
    <w:rsid w:val="008D50A8"/>
    <w:rsid w:val="008D77F7"/>
    <w:rsid w:val="008E0DD8"/>
    <w:rsid w:val="008E7264"/>
    <w:rsid w:val="008F35B3"/>
    <w:rsid w:val="008F6A2A"/>
    <w:rsid w:val="008F7BE8"/>
    <w:rsid w:val="009073DE"/>
    <w:rsid w:val="009107DE"/>
    <w:rsid w:val="009270D4"/>
    <w:rsid w:val="00927C62"/>
    <w:rsid w:val="009551F3"/>
    <w:rsid w:val="00957AB3"/>
    <w:rsid w:val="0096766D"/>
    <w:rsid w:val="009734F6"/>
    <w:rsid w:val="00983A4F"/>
    <w:rsid w:val="009847B4"/>
    <w:rsid w:val="00986289"/>
    <w:rsid w:val="0099268B"/>
    <w:rsid w:val="009A30F3"/>
    <w:rsid w:val="009A7771"/>
    <w:rsid w:val="009D3DA8"/>
    <w:rsid w:val="009E013B"/>
    <w:rsid w:val="00A03AFC"/>
    <w:rsid w:val="00A05275"/>
    <w:rsid w:val="00A070A4"/>
    <w:rsid w:val="00A1007B"/>
    <w:rsid w:val="00A15101"/>
    <w:rsid w:val="00A15770"/>
    <w:rsid w:val="00A2370A"/>
    <w:rsid w:val="00A25E20"/>
    <w:rsid w:val="00A3022D"/>
    <w:rsid w:val="00A44E64"/>
    <w:rsid w:val="00A46557"/>
    <w:rsid w:val="00A63161"/>
    <w:rsid w:val="00A64CF4"/>
    <w:rsid w:val="00A7354D"/>
    <w:rsid w:val="00A87ACA"/>
    <w:rsid w:val="00A91E5A"/>
    <w:rsid w:val="00A96458"/>
    <w:rsid w:val="00AA06A5"/>
    <w:rsid w:val="00AA2041"/>
    <w:rsid w:val="00AA22FF"/>
    <w:rsid w:val="00AA55C5"/>
    <w:rsid w:val="00AB1C6E"/>
    <w:rsid w:val="00AD28BA"/>
    <w:rsid w:val="00AD7B20"/>
    <w:rsid w:val="00AF2C4A"/>
    <w:rsid w:val="00AF4377"/>
    <w:rsid w:val="00B2185A"/>
    <w:rsid w:val="00B32907"/>
    <w:rsid w:val="00B46309"/>
    <w:rsid w:val="00B56693"/>
    <w:rsid w:val="00B64D27"/>
    <w:rsid w:val="00B66C91"/>
    <w:rsid w:val="00B70588"/>
    <w:rsid w:val="00B76116"/>
    <w:rsid w:val="00B77D33"/>
    <w:rsid w:val="00B83220"/>
    <w:rsid w:val="00B83B73"/>
    <w:rsid w:val="00B93705"/>
    <w:rsid w:val="00B940AA"/>
    <w:rsid w:val="00BB391A"/>
    <w:rsid w:val="00BB3BD8"/>
    <w:rsid w:val="00BB7E88"/>
    <w:rsid w:val="00BC3B61"/>
    <w:rsid w:val="00BC4548"/>
    <w:rsid w:val="00BC7B3D"/>
    <w:rsid w:val="00BD0D77"/>
    <w:rsid w:val="00BD2031"/>
    <w:rsid w:val="00BE1EB9"/>
    <w:rsid w:val="00BE2396"/>
    <w:rsid w:val="00BE7644"/>
    <w:rsid w:val="00C2076C"/>
    <w:rsid w:val="00C24BE8"/>
    <w:rsid w:val="00C36552"/>
    <w:rsid w:val="00C53985"/>
    <w:rsid w:val="00C56AA8"/>
    <w:rsid w:val="00C62A07"/>
    <w:rsid w:val="00C811D0"/>
    <w:rsid w:val="00C84AA8"/>
    <w:rsid w:val="00C93E7E"/>
    <w:rsid w:val="00CA5C7A"/>
    <w:rsid w:val="00CB1E81"/>
    <w:rsid w:val="00CB6CCA"/>
    <w:rsid w:val="00CC1440"/>
    <w:rsid w:val="00CC59E0"/>
    <w:rsid w:val="00CE192E"/>
    <w:rsid w:val="00CE2E51"/>
    <w:rsid w:val="00CF5062"/>
    <w:rsid w:val="00CF518C"/>
    <w:rsid w:val="00D01B54"/>
    <w:rsid w:val="00D031F2"/>
    <w:rsid w:val="00D11465"/>
    <w:rsid w:val="00D31F36"/>
    <w:rsid w:val="00D419BB"/>
    <w:rsid w:val="00D472AC"/>
    <w:rsid w:val="00D60C34"/>
    <w:rsid w:val="00D60EA5"/>
    <w:rsid w:val="00D65132"/>
    <w:rsid w:val="00D73059"/>
    <w:rsid w:val="00D74819"/>
    <w:rsid w:val="00D7570F"/>
    <w:rsid w:val="00D81330"/>
    <w:rsid w:val="00D929DD"/>
    <w:rsid w:val="00D94CAE"/>
    <w:rsid w:val="00DA02A7"/>
    <w:rsid w:val="00DA0B45"/>
    <w:rsid w:val="00DA1EEB"/>
    <w:rsid w:val="00DB087C"/>
    <w:rsid w:val="00DB2221"/>
    <w:rsid w:val="00DC26BD"/>
    <w:rsid w:val="00DD012F"/>
    <w:rsid w:val="00DD5626"/>
    <w:rsid w:val="00DE4945"/>
    <w:rsid w:val="00DF2A62"/>
    <w:rsid w:val="00E04BF9"/>
    <w:rsid w:val="00E102FB"/>
    <w:rsid w:val="00E122BB"/>
    <w:rsid w:val="00E2127C"/>
    <w:rsid w:val="00E24C0E"/>
    <w:rsid w:val="00E30EB0"/>
    <w:rsid w:val="00E4048C"/>
    <w:rsid w:val="00E55EF2"/>
    <w:rsid w:val="00E626D8"/>
    <w:rsid w:val="00E7255E"/>
    <w:rsid w:val="00E77A93"/>
    <w:rsid w:val="00E841D8"/>
    <w:rsid w:val="00E8594B"/>
    <w:rsid w:val="00E95831"/>
    <w:rsid w:val="00EA6B22"/>
    <w:rsid w:val="00EA7863"/>
    <w:rsid w:val="00EB03FB"/>
    <w:rsid w:val="00ED222B"/>
    <w:rsid w:val="00EE2B32"/>
    <w:rsid w:val="00EE3A15"/>
    <w:rsid w:val="00EE60DA"/>
    <w:rsid w:val="00EE7CC2"/>
    <w:rsid w:val="00F03BDD"/>
    <w:rsid w:val="00F12224"/>
    <w:rsid w:val="00F40D06"/>
    <w:rsid w:val="00F424BA"/>
    <w:rsid w:val="00F50888"/>
    <w:rsid w:val="00F54DD1"/>
    <w:rsid w:val="00F57394"/>
    <w:rsid w:val="00F601E0"/>
    <w:rsid w:val="00F736EC"/>
    <w:rsid w:val="00F75E2A"/>
    <w:rsid w:val="00F77797"/>
    <w:rsid w:val="00F85EC6"/>
    <w:rsid w:val="00F928BD"/>
    <w:rsid w:val="00F9783E"/>
    <w:rsid w:val="00FA0A27"/>
    <w:rsid w:val="00FA0FA9"/>
    <w:rsid w:val="00FB056B"/>
    <w:rsid w:val="00FB6950"/>
    <w:rsid w:val="00FD23EB"/>
    <w:rsid w:val="00FE617A"/>
    <w:rsid w:val="00FE6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3A895F"/>
  <w15:chartTrackingRefBased/>
  <w15:docId w15:val="{49E46822-982B-4EC2-BF9A-922AB7349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7797"/>
    <w:pPr>
      <w:spacing w:after="120" w:line="360" w:lineRule="auto"/>
    </w:pPr>
    <w:rPr>
      <w:rFonts w:ascii="Segoe UI" w:hAnsi="Segoe UI" w:cs="Segoe UI"/>
      <w:spacing w:val="-4"/>
      <w:sz w:val="20"/>
      <w:szCs w:val="20"/>
    </w:rPr>
  </w:style>
  <w:style w:type="paragraph" w:styleId="Heading1">
    <w:name w:val="heading 1"/>
    <w:basedOn w:val="Normal"/>
    <w:next w:val="Normal"/>
    <w:link w:val="Heading1Char"/>
    <w:uiPriority w:val="9"/>
    <w:qFormat/>
    <w:rsid w:val="00475584"/>
    <w:pPr>
      <w:keepNext/>
      <w:keepLines/>
      <w:spacing w:before="360"/>
      <w:ind w:left="432" w:hanging="432"/>
      <w:outlineLvl w:val="0"/>
    </w:pPr>
    <w:rPr>
      <w:rFonts w:ascii="Leelawadee" w:eastAsiaTheme="majorEastAsia" w:hAnsi="Leelawadee" w:cs="Leelawadee"/>
      <w:b/>
      <w:bCs/>
      <w:color w:val="2B3990"/>
      <w:spacing w:val="-10"/>
      <w:sz w:val="24"/>
      <w:szCs w:val="24"/>
    </w:rPr>
  </w:style>
  <w:style w:type="paragraph" w:styleId="Heading2">
    <w:name w:val="heading 2"/>
    <w:basedOn w:val="Normal"/>
    <w:next w:val="Normal"/>
    <w:link w:val="Heading2Char"/>
    <w:uiPriority w:val="9"/>
    <w:unhideWhenUsed/>
    <w:qFormat/>
    <w:rsid w:val="0044704A"/>
    <w:pPr>
      <w:keepNext/>
      <w:keepLines/>
      <w:spacing w:before="240"/>
      <w:ind w:left="576" w:hanging="576"/>
      <w:outlineLvl w:val="1"/>
    </w:pPr>
    <w:rPr>
      <w:rFonts w:ascii="Leelawadee" w:eastAsiaTheme="majorEastAsia" w:hAnsi="Leelawadee" w:cs="Leelawadee"/>
      <w:b/>
      <w:bCs/>
      <w:color w:val="4197D3"/>
      <w:spacing w:val="-6"/>
    </w:rPr>
  </w:style>
  <w:style w:type="paragraph" w:styleId="Heading3">
    <w:name w:val="heading 3"/>
    <w:basedOn w:val="Normal"/>
    <w:next w:val="Normal"/>
    <w:link w:val="Heading3Char"/>
    <w:uiPriority w:val="9"/>
    <w:semiHidden/>
    <w:unhideWhenUsed/>
    <w:qFormat/>
    <w:rsid w:val="000B46EB"/>
    <w:pPr>
      <w:keepNext/>
      <w:keepLines/>
      <w:spacing w:before="240"/>
      <w:ind w:left="720" w:hanging="720"/>
      <w:outlineLvl w:val="2"/>
    </w:pPr>
    <w:rPr>
      <w:rFonts w:ascii="Leelawadee" w:eastAsiaTheme="majorEastAsia" w:hAnsi="Leelawadee" w:cs="Leelawadee"/>
      <w:b/>
      <w:bCs/>
      <w:spacing w:val="-6"/>
      <w:sz w:val="22"/>
      <w:szCs w:val="22"/>
    </w:rPr>
  </w:style>
  <w:style w:type="paragraph" w:styleId="Heading5">
    <w:name w:val="heading 5"/>
    <w:basedOn w:val="Normal"/>
    <w:next w:val="Normal"/>
    <w:link w:val="Heading5Char"/>
    <w:uiPriority w:val="9"/>
    <w:semiHidden/>
    <w:unhideWhenUsed/>
    <w:qFormat/>
    <w:rsid w:val="000B46EB"/>
    <w:pPr>
      <w:keepNext/>
      <w:keepLines/>
      <w:numPr>
        <w:ilvl w:val="4"/>
        <w:numId w:val="23"/>
      </w:numPr>
      <w:spacing w:before="200"/>
      <w:outlineLvl w:val="4"/>
    </w:pPr>
    <w:rPr>
      <w:rFonts w:asciiTheme="majorHAnsi" w:eastAsiaTheme="majorEastAsia" w:hAnsiTheme="majorHAnsi" w:cstheme="majorBidi"/>
      <w:color w:val="1A4C6F" w:themeColor="accent1" w:themeShade="7F"/>
    </w:rPr>
  </w:style>
  <w:style w:type="paragraph" w:styleId="Heading6">
    <w:name w:val="heading 6"/>
    <w:basedOn w:val="Normal"/>
    <w:next w:val="Normal"/>
    <w:link w:val="Heading6Char"/>
    <w:uiPriority w:val="9"/>
    <w:semiHidden/>
    <w:unhideWhenUsed/>
    <w:qFormat/>
    <w:rsid w:val="000B46EB"/>
    <w:pPr>
      <w:keepNext/>
      <w:keepLines/>
      <w:numPr>
        <w:ilvl w:val="5"/>
        <w:numId w:val="23"/>
      </w:numPr>
      <w:spacing w:before="200"/>
      <w:outlineLvl w:val="5"/>
    </w:pPr>
    <w:rPr>
      <w:rFonts w:asciiTheme="majorHAnsi" w:eastAsiaTheme="majorEastAsia" w:hAnsiTheme="majorHAnsi" w:cstheme="majorBidi"/>
      <w:i/>
      <w:iCs/>
      <w:color w:val="1A4C6F" w:themeColor="accent1" w:themeShade="7F"/>
    </w:rPr>
  </w:style>
  <w:style w:type="paragraph" w:styleId="Heading7">
    <w:name w:val="heading 7"/>
    <w:basedOn w:val="Normal"/>
    <w:next w:val="Normal"/>
    <w:link w:val="Heading7Char"/>
    <w:uiPriority w:val="9"/>
    <w:semiHidden/>
    <w:unhideWhenUsed/>
    <w:qFormat/>
    <w:rsid w:val="000B46EB"/>
    <w:pPr>
      <w:keepNext/>
      <w:keepLines/>
      <w:numPr>
        <w:ilvl w:val="6"/>
        <w:numId w:val="23"/>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0B46EB"/>
    <w:pPr>
      <w:keepNext/>
      <w:keepLines/>
      <w:numPr>
        <w:ilvl w:val="7"/>
        <w:numId w:val="23"/>
      </w:numPr>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rsid w:val="000B46EB"/>
    <w:pPr>
      <w:keepNext/>
      <w:keepLines/>
      <w:numPr>
        <w:ilvl w:val="8"/>
        <w:numId w:val="1"/>
      </w:numPr>
      <w:spacing w:before="200"/>
      <w:ind w:left="1584" w:hanging="1584"/>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01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012F"/>
  </w:style>
  <w:style w:type="paragraph" w:styleId="Footer">
    <w:name w:val="footer"/>
    <w:basedOn w:val="Normal"/>
    <w:link w:val="FooterChar"/>
    <w:uiPriority w:val="99"/>
    <w:unhideWhenUsed/>
    <w:rsid w:val="00DD01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12F"/>
  </w:style>
  <w:style w:type="character" w:customStyle="1" w:styleId="Heading1Char">
    <w:name w:val="Heading 1 Char"/>
    <w:basedOn w:val="DefaultParagraphFont"/>
    <w:link w:val="Heading1"/>
    <w:uiPriority w:val="9"/>
    <w:rsid w:val="00475584"/>
    <w:rPr>
      <w:rFonts w:ascii="Leelawadee" w:eastAsiaTheme="majorEastAsia" w:hAnsi="Leelawadee" w:cs="Leelawadee"/>
      <w:b/>
      <w:bCs/>
      <w:color w:val="2B3990"/>
      <w:spacing w:val="-10"/>
      <w:sz w:val="24"/>
      <w:szCs w:val="24"/>
    </w:rPr>
  </w:style>
  <w:style w:type="character" w:customStyle="1" w:styleId="Heading2Char">
    <w:name w:val="Heading 2 Char"/>
    <w:basedOn w:val="DefaultParagraphFont"/>
    <w:link w:val="Heading2"/>
    <w:uiPriority w:val="9"/>
    <w:rsid w:val="0044704A"/>
    <w:rPr>
      <w:rFonts w:ascii="Leelawadee" w:eastAsiaTheme="majorEastAsia" w:hAnsi="Leelawadee" w:cs="Leelawadee"/>
      <w:b/>
      <w:bCs/>
      <w:color w:val="4197D3"/>
      <w:spacing w:val="-6"/>
      <w:sz w:val="20"/>
      <w:szCs w:val="20"/>
    </w:rPr>
  </w:style>
  <w:style w:type="paragraph" w:styleId="ListParagraph">
    <w:name w:val="List Paragraph"/>
    <w:basedOn w:val="Normal"/>
    <w:uiPriority w:val="34"/>
    <w:rsid w:val="00DD012F"/>
    <w:pPr>
      <w:ind w:left="720"/>
      <w:contextualSpacing/>
    </w:pPr>
  </w:style>
  <w:style w:type="paragraph" w:styleId="Title">
    <w:name w:val="Title"/>
    <w:basedOn w:val="Normal"/>
    <w:next w:val="Subtitle"/>
    <w:link w:val="TitleChar"/>
    <w:uiPriority w:val="10"/>
    <w:qFormat/>
    <w:rsid w:val="009107DE"/>
    <w:pPr>
      <w:spacing w:after="240" w:line="240" w:lineRule="auto"/>
      <w:contextualSpacing/>
    </w:pPr>
    <w:rPr>
      <w:rFonts w:ascii="Leelawadee" w:eastAsiaTheme="majorEastAsia" w:hAnsi="Leelawadee" w:cs="Leelawadee"/>
      <w:b/>
      <w:color w:val="2B3990" w:themeColor="accent2"/>
      <w:spacing w:val="-10"/>
      <w:kern w:val="28"/>
      <w:sz w:val="36"/>
      <w:szCs w:val="36"/>
    </w:rPr>
  </w:style>
  <w:style w:type="character" w:customStyle="1" w:styleId="TitleChar">
    <w:name w:val="Title Char"/>
    <w:basedOn w:val="DefaultParagraphFont"/>
    <w:link w:val="Title"/>
    <w:uiPriority w:val="10"/>
    <w:rsid w:val="009107DE"/>
    <w:rPr>
      <w:rFonts w:ascii="Leelawadee" w:eastAsiaTheme="majorEastAsia" w:hAnsi="Leelawadee" w:cs="Leelawadee"/>
      <w:b/>
      <w:color w:val="2B3990" w:themeColor="accent2"/>
      <w:spacing w:val="-10"/>
      <w:kern w:val="28"/>
      <w:sz w:val="36"/>
      <w:szCs w:val="36"/>
    </w:rPr>
  </w:style>
  <w:style w:type="paragraph" w:styleId="Subtitle">
    <w:name w:val="Subtitle"/>
    <w:aliases w:val="Author"/>
    <w:basedOn w:val="Normal"/>
    <w:next w:val="Date"/>
    <w:link w:val="SubtitleChar"/>
    <w:uiPriority w:val="11"/>
    <w:qFormat/>
    <w:rsid w:val="009107DE"/>
    <w:pPr>
      <w:spacing w:after="0"/>
    </w:pPr>
    <w:rPr>
      <w:rFonts w:ascii="Leelawadee" w:hAnsi="Leelawadee" w:cs="Leelawadee"/>
      <w:b/>
      <w:color w:val="4197D3"/>
      <w:spacing w:val="-10"/>
    </w:rPr>
  </w:style>
  <w:style w:type="character" w:customStyle="1" w:styleId="SubtitleChar">
    <w:name w:val="Subtitle Char"/>
    <w:aliases w:val="Author Char"/>
    <w:basedOn w:val="DefaultParagraphFont"/>
    <w:link w:val="Subtitle"/>
    <w:uiPriority w:val="11"/>
    <w:rsid w:val="009107DE"/>
    <w:rPr>
      <w:rFonts w:ascii="Leelawadee" w:hAnsi="Leelawadee" w:cs="Leelawadee"/>
      <w:b/>
      <w:color w:val="4197D3"/>
      <w:spacing w:val="-10"/>
      <w:sz w:val="20"/>
      <w:szCs w:val="20"/>
    </w:rPr>
  </w:style>
  <w:style w:type="character" w:styleId="SubtleEmphasis">
    <w:name w:val="Subtle Emphasis"/>
    <w:aliases w:val="Title Date"/>
    <w:basedOn w:val="DefaultParagraphFont"/>
    <w:uiPriority w:val="19"/>
    <w:rsid w:val="000B46EB"/>
    <w:rPr>
      <w:rFonts w:ascii="Leelawadee" w:hAnsi="Leelawadee" w:cs="Leelawadee"/>
      <w:b/>
      <w:iCs/>
    </w:rPr>
  </w:style>
  <w:style w:type="table" w:styleId="TableGrid">
    <w:name w:val="Table Grid"/>
    <w:basedOn w:val="TableNormal"/>
    <w:uiPriority w:val="39"/>
    <w:rsid w:val="00DC26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DC26BD"/>
    <w:pPr>
      <w:spacing w:line="240" w:lineRule="auto"/>
    </w:pPr>
    <w:tblPr>
      <w:tblStyleRowBandSize w:val="1"/>
      <w:tblStyleColBandSize w:val="1"/>
      <w:tblBorders>
        <w:top w:val="single" w:sz="4" w:space="0" w:color="B2D5ED" w:themeColor="accent1" w:themeTint="66"/>
        <w:left w:val="single" w:sz="4" w:space="0" w:color="B2D5ED" w:themeColor="accent1" w:themeTint="66"/>
        <w:bottom w:val="single" w:sz="4" w:space="0" w:color="B2D5ED" w:themeColor="accent1" w:themeTint="66"/>
        <w:right w:val="single" w:sz="4" w:space="0" w:color="B2D5ED" w:themeColor="accent1" w:themeTint="66"/>
        <w:insideH w:val="single" w:sz="4" w:space="0" w:color="B2D5ED" w:themeColor="accent1" w:themeTint="66"/>
        <w:insideV w:val="single" w:sz="4" w:space="0" w:color="B2D5ED" w:themeColor="accent1" w:themeTint="66"/>
      </w:tblBorders>
    </w:tblPr>
    <w:tblStylePr w:type="firstRow">
      <w:rPr>
        <w:b/>
        <w:bCs/>
      </w:rPr>
      <w:tblPr/>
      <w:tcPr>
        <w:tcBorders>
          <w:bottom w:val="single" w:sz="12" w:space="0" w:color="8CC0E4" w:themeColor="accent1" w:themeTint="99"/>
        </w:tcBorders>
      </w:tcPr>
    </w:tblStylePr>
    <w:tblStylePr w:type="lastRow">
      <w:rPr>
        <w:b/>
        <w:bCs/>
      </w:rPr>
      <w:tblPr/>
      <w:tcPr>
        <w:tcBorders>
          <w:top w:val="double" w:sz="2" w:space="0" w:color="8CC0E4" w:themeColor="accent1" w:themeTint="99"/>
        </w:tcBorders>
      </w:tcPr>
    </w:tblStylePr>
    <w:tblStylePr w:type="firstCol">
      <w:rPr>
        <w:b/>
        <w:bCs/>
      </w:rPr>
    </w:tblStylePr>
    <w:tblStylePr w:type="lastCol">
      <w:rPr>
        <w:b/>
        <w:bCs/>
      </w:rPr>
    </w:tblStylePr>
  </w:style>
  <w:style w:type="table" w:styleId="ListTable3-Accent5">
    <w:name w:val="List Table 3 Accent 5"/>
    <w:basedOn w:val="TableNormal"/>
    <w:uiPriority w:val="48"/>
    <w:rsid w:val="00DC26BD"/>
    <w:pPr>
      <w:spacing w:line="240" w:lineRule="auto"/>
    </w:pPr>
    <w:tblPr>
      <w:tblStyleRowBandSize w:val="1"/>
      <w:tblStyleColBandSize w:val="1"/>
      <w:tblBorders>
        <w:top w:val="single" w:sz="4" w:space="0" w:color="9BBB59" w:themeColor="accent5"/>
        <w:left w:val="single" w:sz="4" w:space="0" w:color="9BBB59" w:themeColor="accent5"/>
        <w:bottom w:val="single" w:sz="4" w:space="0" w:color="9BBB59" w:themeColor="accent5"/>
        <w:right w:val="single" w:sz="4" w:space="0" w:color="9BBB59" w:themeColor="accent5"/>
      </w:tblBorders>
    </w:tblPr>
    <w:tblStylePr w:type="firstRow">
      <w:rPr>
        <w:b/>
        <w:bCs/>
        <w:color w:val="FFFFFF" w:themeColor="background1"/>
      </w:rPr>
      <w:tblPr/>
      <w:tcPr>
        <w:shd w:val="clear" w:color="auto" w:fill="9BBB59" w:themeFill="accent5"/>
      </w:tcPr>
    </w:tblStylePr>
    <w:tblStylePr w:type="lastRow">
      <w:rPr>
        <w:b/>
        <w:bCs/>
      </w:rPr>
      <w:tblPr/>
      <w:tcPr>
        <w:tcBorders>
          <w:top w:val="double" w:sz="4" w:space="0" w:color="9BBB5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5"/>
          <w:right w:val="single" w:sz="4" w:space="0" w:color="9BBB59" w:themeColor="accent5"/>
        </w:tcBorders>
      </w:tcPr>
    </w:tblStylePr>
    <w:tblStylePr w:type="band1Horz">
      <w:tblPr/>
      <w:tcPr>
        <w:tcBorders>
          <w:top w:val="single" w:sz="4" w:space="0" w:color="9BBB59" w:themeColor="accent5"/>
          <w:bottom w:val="single" w:sz="4" w:space="0" w:color="9BBB5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5"/>
          <w:left w:val="nil"/>
        </w:tcBorders>
      </w:tcPr>
    </w:tblStylePr>
    <w:tblStylePr w:type="swCell">
      <w:tblPr/>
      <w:tcPr>
        <w:tcBorders>
          <w:top w:val="double" w:sz="4" w:space="0" w:color="9BBB59" w:themeColor="accent5"/>
          <w:right w:val="nil"/>
        </w:tcBorders>
      </w:tcPr>
    </w:tblStylePr>
  </w:style>
  <w:style w:type="paragraph" w:styleId="FootnoteText">
    <w:name w:val="footnote text"/>
    <w:basedOn w:val="Normal"/>
    <w:link w:val="FootnoteTextChar"/>
    <w:uiPriority w:val="99"/>
    <w:semiHidden/>
    <w:unhideWhenUsed/>
    <w:rsid w:val="00B2185A"/>
    <w:pPr>
      <w:spacing w:after="0" w:line="240" w:lineRule="auto"/>
    </w:pPr>
  </w:style>
  <w:style w:type="character" w:customStyle="1" w:styleId="FootnoteTextChar">
    <w:name w:val="Footnote Text Char"/>
    <w:basedOn w:val="DefaultParagraphFont"/>
    <w:link w:val="FootnoteText"/>
    <w:uiPriority w:val="99"/>
    <w:semiHidden/>
    <w:rsid w:val="00B2185A"/>
    <w:rPr>
      <w:sz w:val="20"/>
      <w:szCs w:val="20"/>
    </w:rPr>
  </w:style>
  <w:style w:type="character" w:styleId="FootnoteReference">
    <w:name w:val="footnote reference"/>
    <w:basedOn w:val="DefaultParagraphFont"/>
    <w:uiPriority w:val="99"/>
    <w:semiHidden/>
    <w:unhideWhenUsed/>
    <w:rsid w:val="00B2185A"/>
    <w:rPr>
      <w:vertAlign w:val="superscript"/>
    </w:rPr>
  </w:style>
  <w:style w:type="paragraph" w:styleId="EndnoteText">
    <w:name w:val="endnote text"/>
    <w:basedOn w:val="Normal"/>
    <w:link w:val="EndnoteTextChar"/>
    <w:uiPriority w:val="99"/>
    <w:unhideWhenUsed/>
    <w:rsid w:val="008F35B3"/>
    <w:pPr>
      <w:spacing w:after="0" w:line="240" w:lineRule="auto"/>
    </w:pPr>
    <w:rPr>
      <w:sz w:val="18"/>
      <w:szCs w:val="18"/>
    </w:rPr>
  </w:style>
  <w:style w:type="character" w:customStyle="1" w:styleId="EndnoteTextChar">
    <w:name w:val="Endnote Text Char"/>
    <w:basedOn w:val="DefaultParagraphFont"/>
    <w:link w:val="EndnoteText"/>
    <w:uiPriority w:val="99"/>
    <w:rsid w:val="008F35B3"/>
    <w:rPr>
      <w:rFonts w:ascii="Segoe UI" w:hAnsi="Segoe UI" w:cs="Segoe UI"/>
      <w:spacing w:val="-4"/>
      <w:sz w:val="18"/>
      <w:szCs w:val="18"/>
    </w:rPr>
  </w:style>
  <w:style w:type="character" w:styleId="EndnoteReference">
    <w:name w:val="endnote reference"/>
    <w:basedOn w:val="DefaultParagraphFont"/>
    <w:uiPriority w:val="99"/>
    <w:semiHidden/>
    <w:unhideWhenUsed/>
    <w:rsid w:val="00F601E0"/>
    <w:rPr>
      <w:vertAlign w:val="superscript"/>
    </w:rPr>
  </w:style>
  <w:style w:type="paragraph" w:customStyle="1" w:styleId="IntroPara">
    <w:name w:val="Intro Para"/>
    <w:basedOn w:val="Normal"/>
    <w:next w:val="Heading2"/>
    <w:link w:val="IntroParaChar"/>
    <w:rsid w:val="000B46EB"/>
    <w:pPr>
      <w:spacing w:after="360"/>
    </w:pPr>
    <w:rPr>
      <w:rFonts w:ascii="Leelawadee" w:hAnsi="Leelawadee" w:cs="Leelawadee"/>
      <w:spacing w:val="-6"/>
      <w:sz w:val="28"/>
      <w:szCs w:val="28"/>
    </w:rPr>
  </w:style>
  <w:style w:type="character" w:customStyle="1" w:styleId="IntroParaChar">
    <w:name w:val="Intro Para Char"/>
    <w:basedOn w:val="DefaultParagraphFont"/>
    <w:link w:val="IntroPara"/>
    <w:rsid w:val="000B46EB"/>
    <w:rPr>
      <w:rFonts w:ascii="Leelawadee" w:hAnsi="Leelawadee" w:cs="Leelawadee"/>
      <w:spacing w:val="-6"/>
      <w:sz w:val="28"/>
      <w:szCs w:val="28"/>
    </w:rPr>
  </w:style>
  <w:style w:type="paragraph" w:customStyle="1" w:styleId="Contents">
    <w:name w:val="Contents"/>
    <w:basedOn w:val="Normal"/>
    <w:link w:val="ContentsChar"/>
    <w:rsid w:val="005F1F45"/>
    <w:pPr>
      <w:pBdr>
        <w:bottom w:val="single" w:sz="4" w:space="1" w:color="2B3990" w:themeColor="accent2"/>
      </w:pBdr>
      <w:spacing w:before="360"/>
    </w:pPr>
    <w:rPr>
      <w:rFonts w:ascii="Leelawadee" w:hAnsi="Leelawadee" w:cs="Leelawadee"/>
      <w:b/>
      <w:color w:val="2B3990"/>
      <w:spacing w:val="-10"/>
      <w:sz w:val="36"/>
      <w:szCs w:val="36"/>
    </w:rPr>
  </w:style>
  <w:style w:type="character" w:customStyle="1" w:styleId="ContentsChar">
    <w:name w:val="Contents Char"/>
    <w:basedOn w:val="DefaultParagraphFont"/>
    <w:link w:val="Contents"/>
    <w:rsid w:val="005F1F45"/>
    <w:rPr>
      <w:rFonts w:ascii="Leelawadee" w:hAnsi="Leelawadee" w:cs="Leelawadee"/>
      <w:b/>
      <w:color w:val="2B3990"/>
      <w:spacing w:val="-10"/>
      <w:sz w:val="36"/>
      <w:szCs w:val="36"/>
    </w:rPr>
  </w:style>
  <w:style w:type="paragraph" w:customStyle="1" w:styleId="AfterTable">
    <w:name w:val="After Table"/>
    <w:basedOn w:val="Normal"/>
    <w:link w:val="AfterTableChar"/>
    <w:qFormat/>
    <w:rsid w:val="000B46EB"/>
    <w:pPr>
      <w:spacing w:before="200"/>
    </w:pPr>
  </w:style>
  <w:style w:type="character" w:customStyle="1" w:styleId="AfterTableChar">
    <w:name w:val="After Table Char"/>
    <w:basedOn w:val="DefaultParagraphFont"/>
    <w:link w:val="AfterTable"/>
    <w:rsid w:val="000B46EB"/>
    <w:rPr>
      <w:rFonts w:ascii="Segoe UI" w:hAnsi="Segoe UI" w:cs="Segoe UI"/>
      <w:sz w:val="20"/>
      <w:szCs w:val="20"/>
    </w:rPr>
  </w:style>
  <w:style w:type="paragraph" w:customStyle="1" w:styleId="TableText">
    <w:name w:val="Table Text"/>
    <w:basedOn w:val="Normal"/>
    <w:link w:val="TableTextChar"/>
    <w:qFormat/>
    <w:rsid w:val="00CE2E51"/>
    <w:pPr>
      <w:spacing w:before="20" w:after="20" w:line="240" w:lineRule="auto"/>
    </w:pPr>
  </w:style>
  <w:style w:type="character" w:customStyle="1" w:styleId="TableTextChar">
    <w:name w:val="Table Text Char"/>
    <w:basedOn w:val="DefaultParagraphFont"/>
    <w:link w:val="TableText"/>
    <w:rsid w:val="00CE2E51"/>
    <w:rPr>
      <w:rFonts w:ascii="Segoe UI" w:hAnsi="Segoe UI" w:cs="Segoe UI"/>
      <w:spacing w:val="-4"/>
      <w:sz w:val="20"/>
      <w:szCs w:val="20"/>
    </w:rPr>
  </w:style>
  <w:style w:type="paragraph" w:customStyle="1" w:styleId="Sourcenonote">
    <w:name w:val="Source (no note)"/>
    <w:basedOn w:val="Normal"/>
    <w:next w:val="Normal"/>
    <w:link w:val="SourcenonoteChar"/>
    <w:qFormat/>
    <w:rsid w:val="00C84AA8"/>
    <w:pPr>
      <w:spacing w:before="120" w:after="240"/>
    </w:pPr>
    <w:rPr>
      <w:sz w:val="16"/>
      <w:szCs w:val="16"/>
    </w:rPr>
  </w:style>
  <w:style w:type="character" w:customStyle="1" w:styleId="SourcenonoteChar">
    <w:name w:val="Source (no note) Char"/>
    <w:basedOn w:val="DefaultParagraphFont"/>
    <w:link w:val="Sourcenonote"/>
    <w:rsid w:val="00C84AA8"/>
    <w:rPr>
      <w:rFonts w:ascii="Segoe UI" w:hAnsi="Segoe UI" w:cs="Segoe UI"/>
      <w:spacing w:val="-4"/>
      <w:sz w:val="16"/>
      <w:szCs w:val="16"/>
    </w:rPr>
  </w:style>
  <w:style w:type="paragraph" w:customStyle="1" w:styleId="Sourcewithnote">
    <w:name w:val="Source (with note)"/>
    <w:basedOn w:val="Sourcenonote"/>
    <w:next w:val="Note"/>
    <w:link w:val="SourcewithnoteChar"/>
    <w:qFormat/>
    <w:rsid w:val="000B46EB"/>
    <w:pPr>
      <w:spacing w:after="0"/>
    </w:pPr>
  </w:style>
  <w:style w:type="character" w:customStyle="1" w:styleId="SourcewithnoteChar">
    <w:name w:val="Source (with note) Char"/>
    <w:basedOn w:val="SourcenonoteChar"/>
    <w:link w:val="Sourcewithnote"/>
    <w:rsid w:val="000B46EB"/>
    <w:rPr>
      <w:rFonts w:ascii="Segoe UI" w:hAnsi="Segoe UI" w:cs="Segoe UI"/>
      <w:spacing w:val="-4"/>
      <w:sz w:val="16"/>
      <w:szCs w:val="16"/>
    </w:rPr>
  </w:style>
  <w:style w:type="character" w:customStyle="1" w:styleId="Heading3Char">
    <w:name w:val="Heading 3 Char"/>
    <w:basedOn w:val="DefaultParagraphFont"/>
    <w:link w:val="Heading3"/>
    <w:uiPriority w:val="9"/>
    <w:semiHidden/>
    <w:rsid w:val="000B46EB"/>
    <w:rPr>
      <w:rFonts w:ascii="Leelawadee" w:eastAsiaTheme="majorEastAsia" w:hAnsi="Leelawadee" w:cs="Leelawadee"/>
      <w:b/>
      <w:bCs/>
      <w:spacing w:val="-6"/>
    </w:rPr>
  </w:style>
  <w:style w:type="character" w:customStyle="1" w:styleId="Heading5Char">
    <w:name w:val="Heading 5 Char"/>
    <w:basedOn w:val="DefaultParagraphFont"/>
    <w:link w:val="Heading5"/>
    <w:uiPriority w:val="9"/>
    <w:semiHidden/>
    <w:rsid w:val="000B46EB"/>
    <w:rPr>
      <w:rFonts w:asciiTheme="majorHAnsi" w:eastAsiaTheme="majorEastAsia" w:hAnsiTheme="majorHAnsi" w:cstheme="majorBidi"/>
      <w:color w:val="1A4C6F" w:themeColor="accent1" w:themeShade="7F"/>
      <w:sz w:val="20"/>
      <w:szCs w:val="20"/>
    </w:rPr>
  </w:style>
  <w:style w:type="character" w:customStyle="1" w:styleId="Heading6Char">
    <w:name w:val="Heading 6 Char"/>
    <w:basedOn w:val="DefaultParagraphFont"/>
    <w:link w:val="Heading6"/>
    <w:uiPriority w:val="9"/>
    <w:semiHidden/>
    <w:rsid w:val="000B46EB"/>
    <w:rPr>
      <w:rFonts w:asciiTheme="majorHAnsi" w:eastAsiaTheme="majorEastAsia" w:hAnsiTheme="majorHAnsi" w:cstheme="majorBidi"/>
      <w:i/>
      <w:iCs/>
      <w:color w:val="1A4C6F" w:themeColor="accent1" w:themeShade="7F"/>
      <w:sz w:val="20"/>
      <w:szCs w:val="20"/>
    </w:rPr>
  </w:style>
  <w:style w:type="character" w:customStyle="1" w:styleId="Heading7Char">
    <w:name w:val="Heading 7 Char"/>
    <w:basedOn w:val="DefaultParagraphFont"/>
    <w:link w:val="Heading7"/>
    <w:uiPriority w:val="9"/>
    <w:semiHidden/>
    <w:rsid w:val="000B46EB"/>
    <w:rPr>
      <w:rFonts w:asciiTheme="majorHAnsi" w:eastAsiaTheme="majorEastAsia" w:hAnsiTheme="majorHAnsi" w:cstheme="majorBidi"/>
      <w:i/>
      <w:iCs/>
      <w:color w:val="404040" w:themeColor="text1" w:themeTint="BF"/>
      <w:sz w:val="20"/>
      <w:szCs w:val="20"/>
    </w:rPr>
  </w:style>
  <w:style w:type="character" w:customStyle="1" w:styleId="Heading8Char">
    <w:name w:val="Heading 8 Char"/>
    <w:basedOn w:val="DefaultParagraphFont"/>
    <w:link w:val="Heading8"/>
    <w:uiPriority w:val="9"/>
    <w:semiHidden/>
    <w:rsid w:val="000B46EB"/>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0B46EB"/>
    <w:rPr>
      <w:rFonts w:asciiTheme="majorHAnsi" w:eastAsiaTheme="majorEastAsia" w:hAnsiTheme="majorHAnsi" w:cstheme="majorBidi"/>
      <w:i/>
      <w:iCs/>
      <w:color w:val="404040" w:themeColor="text1" w:themeTint="BF"/>
      <w:sz w:val="20"/>
      <w:szCs w:val="20"/>
    </w:rPr>
  </w:style>
  <w:style w:type="paragraph" w:styleId="Quote">
    <w:name w:val="Quote"/>
    <w:basedOn w:val="Normal"/>
    <w:next w:val="Normal"/>
    <w:link w:val="QuoteChar"/>
    <w:uiPriority w:val="29"/>
    <w:qFormat/>
    <w:rsid w:val="000B46EB"/>
    <w:pPr>
      <w:spacing w:before="200" w:after="160"/>
      <w:ind w:left="864" w:right="864"/>
      <w:jc w:val="center"/>
    </w:pPr>
    <w:rPr>
      <w:i/>
      <w:iCs/>
    </w:rPr>
  </w:style>
  <w:style w:type="character" w:customStyle="1" w:styleId="QuoteChar">
    <w:name w:val="Quote Char"/>
    <w:basedOn w:val="DefaultParagraphFont"/>
    <w:link w:val="Quote"/>
    <w:uiPriority w:val="29"/>
    <w:rsid w:val="000B46EB"/>
    <w:rPr>
      <w:rFonts w:ascii="Segoe UI" w:hAnsi="Segoe UI" w:cs="Segoe UI"/>
      <w:i/>
      <w:iCs/>
      <w:sz w:val="20"/>
      <w:szCs w:val="20"/>
    </w:rPr>
  </w:style>
  <w:style w:type="table" w:styleId="ListTable3-Accent1">
    <w:name w:val="List Table 3 Accent 1"/>
    <w:basedOn w:val="TableNormal"/>
    <w:uiPriority w:val="48"/>
    <w:rsid w:val="005C2E5B"/>
    <w:pPr>
      <w:spacing w:before="20" w:after="20" w:line="240" w:lineRule="auto"/>
    </w:pPr>
    <w:rPr>
      <w:rFonts w:ascii="Segoe UI" w:hAnsi="Segoe UI"/>
      <w:sz w:val="18"/>
    </w:rPr>
    <w:tblPr>
      <w:tblStyleRowBandSize w:val="1"/>
      <w:tblStyleColBandSize w:val="1"/>
      <w:tblBorders>
        <w:top w:val="single" w:sz="4" w:space="0" w:color="4197D3" w:themeColor="accent1"/>
        <w:left w:val="single" w:sz="4" w:space="0" w:color="4197D3" w:themeColor="accent1"/>
        <w:bottom w:val="single" w:sz="4" w:space="0" w:color="4197D3" w:themeColor="accent1"/>
        <w:right w:val="single" w:sz="4" w:space="0" w:color="4197D3" w:themeColor="accent1"/>
      </w:tblBorders>
    </w:tblPr>
    <w:tblStylePr w:type="firstRow">
      <w:rPr>
        <w:b/>
        <w:bCs/>
        <w:color w:val="FFFFFF" w:themeColor="background1"/>
      </w:rPr>
      <w:tblPr/>
      <w:tcPr>
        <w:shd w:val="clear" w:color="auto" w:fill="4197D3" w:themeFill="accent1"/>
      </w:tcPr>
    </w:tblStylePr>
    <w:tblStylePr w:type="lastRow">
      <w:rPr>
        <w:b/>
        <w:bCs/>
      </w:rPr>
      <w:tblPr/>
      <w:tcPr>
        <w:tcBorders>
          <w:top w:val="double" w:sz="4" w:space="0" w:color="4197D3"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197D3" w:themeColor="accent1"/>
          <w:right w:val="single" w:sz="4" w:space="0" w:color="4197D3" w:themeColor="accent1"/>
        </w:tcBorders>
      </w:tcPr>
    </w:tblStylePr>
    <w:tblStylePr w:type="band1Horz">
      <w:tblPr/>
      <w:tcPr>
        <w:tcBorders>
          <w:top w:val="single" w:sz="4" w:space="0" w:color="4197D3" w:themeColor="accent1"/>
          <w:bottom w:val="single" w:sz="4" w:space="0" w:color="4197D3"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197D3" w:themeColor="accent1"/>
          <w:left w:val="nil"/>
        </w:tcBorders>
      </w:tcPr>
    </w:tblStylePr>
    <w:tblStylePr w:type="swCell">
      <w:tblPr/>
      <w:tcPr>
        <w:tcBorders>
          <w:top w:val="double" w:sz="4" w:space="0" w:color="4197D3" w:themeColor="accent1"/>
          <w:right w:val="nil"/>
        </w:tcBorders>
      </w:tcPr>
    </w:tblStylePr>
  </w:style>
  <w:style w:type="paragraph" w:customStyle="1" w:styleId="Data">
    <w:name w:val="Data"/>
    <w:basedOn w:val="Normal"/>
    <w:link w:val="DataChar"/>
    <w:rsid w:val="002338E9"/>
    <w:pPr>
      <w:pBdr>
        <w:bottom w:val="single" w:sz="4" w:space="6" w:color="2B3990" w:themeColor="accent2"/>
      </w:pBdr>
      <w:spacing w:after="360"/>
    </w:pPr>
    <w:rPr>
      <w:rFonts w:ascii="Leelawadee" w:hAnsi="Leelawadee" w:cs="Leelawadee"/>
      <w:b/>
    </w:rPr>
  </w:style>
  <w:style w:type="paragraph" w:styleId="Date">
    <w:name w:val="Date"/>
    <w:basedOn w:val="Data"/>
    <w:next w:val="Heading1"/>
    <w:link w:val="DateChar"/>
    <w:uiPriority w:val="99"/>
    <w:unhideWhenUsed/>
    <w:qFormat/>
    <w:rsid w:val="002338E9"/>
  </w:style>
  <w:style w:type="character" w:customStyle="1" w:styleId="DataChar">
    <w:name w:val="Data Char"/>
    <w:basedOn w:val="DefaultParagraphFont"/>
    <w:link w:val="Data"/>
    <w:rsid w:val="002338E9"/>
    <w:rPr>
      <w:rFonts w:ascii="Leelawadee" w:hAnsi="Leelawadee" w:cs="Leelawadee"/>
      <w:b/>
      <w:sz w:val="20"/>
      <w:szCs w:val="20"/>
    </w:rPr>
  </w:style>
  <w:style w:type="character" w:customStyle="1" w:styleId="DateChar">
    <w:name w:val="Date Char"/>
    <w:basedOn w:val="DefaultParagraphFont"/>
    <w:link w:val="Date"/>
    <w:uiPriority w:val="99"/>
    <w:rsid w:val="002338E9"/>
    <w:rPr>
      <w:rFonts w:ascii="Leelawadee" w:hAnsi="Leelawadee" w:cs="Leelawadee"/>
      <w:b/>
      <w:sz w:val="20"/>
      <w:szCs w:val="20"/>
    </w:rPr>
  </w:style>
  <w:style w:type="paragraph" w:styleId="Caption">
    <w:name w:val="caption"/>
    <w:basedOn w:val="Normal"/>
    <w:next w:val="Normal"/>
    <w:uiPriority w:val="35"/>
    <w:unhideWhenUsed/>
    <w:qFormat/>
    <w:rsid w:val="00A91E5A"/>
    <w:pPr>
      <w:keepNext/>
      <w:spacing w:before="240" w:line="240" w:lineRule="auto"/>
    </w:pPr>
    <w:rPr>
      <w:b/>
      <w:iCs/>
      <w:szCs w:val="18"/>
    </w:rPr>
  </w:style>
  <w:style w:type="character" w:styleId="Hyperlink">
    <w:name w:val="Hyperlink"/>
    <w:basedOn w:val="DefaultParagraphFont"/>
    <w:uiPriority w:val="99"/>
    <w:unhideWhenUsed/>
    <w:rsid w:val="008F35B3"/>
    <w:rPr>
      <w:color w:val="4197D3" w:themeColor="hyperlink"/>
      <w:u w:val="single"/>
    </w:rPr>
  </w:style>
  <w:style w:type="paragraph" w:customStyle="1" w:styleId="Note">
    <w:name w:val="Note"/>
    <w:basedOn w:val="Sourcenonote"/>
    <w:next w:val="Normal"/>
    <w:link w:val="NoteChar"/>
    <w:qFormat/>
    <w:rsid w:val="00342CB6"/>
    <w:pPr>
      <w:spacing w:before="0"/>
    </w:pPr>
  </w:style>
  <w:style w:type="paragraph" w:styleId="BalloonText">
    <w:name w:val="Balloon Text"/>
    <w:basedOn w:val="Normal"/>
    <w:link w:val="BalloonTextChar"/>
    <w:uiPriority w:val="99"/>
    <w:semiHidden/>
    <w:unhideWhenUsed/>
    <w:rsid w:val="005B2D77"/>
    <w:pPr>
      <w:spacing w:after="0" w:line="240" w:lineRule="auto"/>
    </w:pPr>
    <w:rPr>
      <w:sz w:val="18"/>
      <w:szCs w:val="18"/>
    </w:rPr>
  </w:style>
  <w:style w:type="character" w:customStyle="1" w:styleId="NoteChar">
    <w:name w:val="Note Char"/>
    <w:basedOn w:val="SourcenonoteChar"/>
    <w:link w:val="Note"/>
    <w:rsid w:val="00342CB6"/>
    <w:rPr>
      <w:rFonts w:ascii="Segoe UI" w:hAnsi="Segoe UI" w:cs="Segoe UI"/>
      <w:spacing w:val="-4"/>
      <w:sz w:val="16"/>
      <w:szCs w:val="16"/>
    </w:rPr>
  </w:style>
  <w:style w:type="character" w:customStyle="1" w:styleId="BalloonTextChar">
    <w:name w:val="Balloon Text Char"/>
    <w:basedOn w:val="DefaultParagraphFont"/>
    <w:link w:val="BalloonText"/>
    <w:uiPriority w:val="99"/>
    <w:semiHidden/>
    <w:rsid w:val="005B2D77"/>
    <w:rPr>
      <w:rFonts w:ascii="Segoe UI" w:hAnsi="Segoe UI" w:cs="Segoe UI"/>
      <w:spacing w:val="-4"/>
      <w:sz w:val="18"/>
      <w:szCs w:val="18"/>
    </w:rPr>
  </w:style>
  <w:style w:type="table" w:customStyle="1" w:styleId="ResearchBulletin">
    <w:name w:val="Research Bulletin"/>
    <w:basedOn w:val="TableNormal"/>
    <w:uiPriority w:val="99"/>
    <w:rsid w:val="00EA7863"/>
    <w:pPr>
      <w:spacing w:line="240" w:lineRule="auto"/>
    </w:pPr>
    <w:rPr>
      <w:rFonts w:ascii="Segoe UI" w:hAnsi="Segoe UI"/>
      <w:sz w:val="20"/>
    </w:rPr>
    <w:tblPr>
      <w:tblBorders>
        <w:top w:val="single" w:sz="4" w:space="0" w:color="4197D3" w:themeColor="accent1"/>
        <w:left w:val="single" w:sz="4" w:space="0" w:color="4197D3" w:themeColor="accent1"/>
        <w:bottom w:val="single" w:sz="4" w:space="0" w:color="4197D3" w:themeColor="accent1"/>
        <w:right w:val="single" w:sz="4" w:space="0" w:color="4197D3" w:themeColor="accent1"/>
        <w:insideH w:val="single" w:sz="4" w:space="0" w:color="4197D3" w:themeColor="accent1"/>
        <w:insideV w:val="single" w:sz="4" w:space="0" w:color="4197D3" w:themeColor="accent1"/>
      </w:tblBorders>
    </w:tblPr>
    <w:tblStylePr w:type="firstRow">
      <w:rPr>
        <w:b/>
        <w:i w:val="0"/>
        <w:color w:val="FFFFFF" w:themeColor="background1"/>
      </w:rPr>
      <w:tblPr/>
      <w:tcPr>
        <w:tcBorders>
          <w:top w:val="single" w:sz="4" w:space="0" w:color="4197D3" w:themeColor="accent1"/>
          <w:left w:val="single" w:sz="4" w:space="0" w:color="4197D3" w:themeColor="accent1"/>
          <w:bottom w:val="single" w:sz="4" w:space="0" w:color="4197D3" w:themeColor="accent1"/>
          <w:right w:val="single" w:sz="4" w:space="0" w:color="4197D3" w:themeColor="accent1"/>
          <w:insideH w:val="nil"/>
          <w:insideV w:val="single" w:sz="4" w:space="0" w:color="4197D3" w:themeColor="accent1"/>
          <w:tl2br w:val="nil"/>
          <w:tr2bl w:val="nil"/>
        </w:tcBorders>
        <w:shd w:val="clear" w:color="auto" w:fill="4197D3" w:themeFill="accent1"/>
      </w:tcPr>
    </w:tblStylePr>
    <w:tblStylePr w:type="firstCol">
      <w:rPr>
        <w:b/>
      </w:rPr>
    </w:tblStylePr>
  </w:style>
  <w:style w:type="paragraph" w:customStyle="1" w:styleId="Summarytext">
    <w:name w:val="Summary text"/>
    <w:basedOn w:val="Date"/>
    <w:link w:val="SummarytextChar"/>
    <w:qFormat/>
    <w:rsid w:val="00CC59E0"/>
    <w:pPr>
      <w:tabs>
        <w:tab w:val="left" w:pos="1035"/>
      </w:tabs>
    </w:pPr>
    <w:rPr>
      <w:rFonts w:ascii="Segoe UI" w:hAnsi="Segoe UI" w:cs="Segoe UI"/>
      <w:b w:val="0"/>
    </w:rPr>
  </w:style>
  <w:style w:type="character" w:customStyle="1" w:styleId="SummarytextChar">
    <w:name w:val="Summary text Char"/>
    <w:basedOn w:val="DateChar"/>
    <w:link w:val="Summarytext"/>
    <w:rsid w:val="00CC59E0"/>
    <w:rPr>
      <w:rFonts w:ascii="Segoe UI" w:hAnsi="Segoe UI" w:cs="Segoe UI"/>
      <w:b w:val="0"/>
      <w:spacing w:val="-4"/>
      <w:sz w:val="20"/>
      <w:szCs w:val="20"/>
    </w:rPr>
  </w:style>
  <w:style w:type="character" w:styleId="CommentReference">
    <w:name w:val="annotation reference"/>
    <w:basedOn w:val="DefaultParagraphFont"/>
    <w:uiPriority w:val="99"/>
    <w:semiHidden/>
    <w:unhideWhenUsed/>
    <w:rsid w:val="00DF2A62"/>
    <w:rPr>
      <w:sz w:val="16"/>
      <w:szCs w:val="16"/>
    </w:rPr>
  </w:style>
  <w:style w:type="paragraph" w:styleId="CommentText">
    <w:name w:val="annotation text"/>
    <w:basedOn w:val="Normal"/>
    <w:link w:val="CommentTextChar"/>
    <w:uiPriority w:val="99"/>
    <w:unhideWhenUsed/>
    <w:rsid w:val="00DF2A62"/>
    <w:pPr>
      <w:spacing w:after="160" w:line="240" w:lineRule="auto"/>
    </w:pPr>
    <w:rPr>
      <w:rFonts w:asciiTheme="minorHAnsi" w:hAnsiTheme="minorHAnsi" w:cstheme="minorBidi"/>
      <w:spacing w:val="0"/>
      <w:kern w:val="2"/>
      <w14:ligatures w14:val="standardContextual"/>
    </w:rPr>
  </w:style>
  <w:style w:type="character" w:customStyle="1" w:styleId="CommentTextChar">
    <w:name w:val="Comment Text Char"/>
    <w:basedOn w:val="DefaultParagraphFont"/>
    <w:link w:val="CommentText"/>
    <w:uiPriority w:val="99"/>
    <w:rsid w:val="00DF2A62"/>
    <w:rPr>
      <w:kern w:val="2"/>
      <w:sz w:val="20"/>
      <w:szCs w:val="20"/>
      <w14:ligatures w14:val="standardContextual"/>
    </w:rPr>
  </w:style>
  <w:style w:type="character" w:styleId="UnresolvedMention">
    <w:name w:val="Unresolved Mention"/>
    <w:basedOn w:val="DefaultParagraphFont"/>
    <w:uiPriority w:val="99"/>
    <w:semiHidden/>
    <w:unhideWhenUsed/>
    <w:rsid w:val="00DF2A6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2C136A"/>
    <w:pPr>
      <w:spacing w:after="120"/>
    </w:pPr>
    <w:rPr>
      <w:rFonts w:ascii="Segoe UI" w:hAnsi="Segoe UI" w:cs="Segoe UI"/>
      <w:b/>
      <w:bCs/>
      <w:spacing w:val="-4"/>
      <w:kern w:val="0"/>
      <w14:ligatures w14:val="none"/>
    </w:rPr>
  </w:style>
  <w:style w:type="character" w:customStyle="1" w:styleId="CommentSubjectChar">
    <w:name w:val="Comment Subject Char"/>
    <w:basedOn w:val="CommentTextChar"/>
    <w:link w:val="CommentSubject"/>
    <w:uiPriority w:val="99"/>
    <w:semiHidden/>
    <w:rsid w:val="002C136A"/>
    <w:rPr>
      <w:rFonts w:ascii="Segoe UI" w:hAnsi="Segoe UI" w:cs="Segoe UI"/>
      <w:b/>
      <w:bCs/>
      <w:spacing w:val="-4"/>
      <w:kern w:val="2"/>
      <w:sz w:val="20"/>
      <w:szCs w:val="2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773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analyticalservices@economy-ni.gov.uk"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_rels/endnotes.xml.rels><?xml version="1.0" encoding="UTF-8" standalone="yes"?>
<Relationships xmlns="http://schemas.openxmlformats.org/package/2006/relationships"><Relationship Id="rId8" Type="http://schemas.openxmlformats.org/officeDocument/2006/relationships/hyperlink" Target="https://www.ons.gov.uk/employmentandlabourmarket/peopleinwork/earningsandworkinghours/articles/jobchangersandstayersunderstandingearningsukapril2012toapril2021/april2012toapril2021" TargetMode="External"/><Relationship Id="rId3" Type="http://schemas.openxmlformats.org/officeDocument/2006/relationships/hyperlink" Target="https://www.livingwage.org.uk/real-living-wage-civil-regulation-assessment" TargetMode="External"/><Relationship Id="rId7" Type="http://schemas.openxmlformats.org/officeDocument/2006/relationships/hyperlink" Target="https://www.nisra.gov.uk/statistics/work-pay-and-benefits/annual-survey-hours-and-earnings" TargetMode="External"/><Relationship Id="rId2" Type="http://schemas.openxmlformats.org/officeDocument/2006/relationships/hyperlink" Target="https://www.livingwage.org.uk/sites/default/files/2026-02/Economic%20impact%20of%20the%20Living%20Wage.pdf" TargetMode="External"/><Relationship Id="rId1" Type="http://schemas.openxmlformats.org/officeDocument/2006/relationships/hyperlink" Target="https://www.nisra.gov.uk/statistics/work-pay-and-benefits/annual-survey-hours-and-earnings" TargetMode="External"/><Relationship Id="rId6" Type="http://schemas.openxmlformats.org/officeDocument/2006/relationships/hyperlink" Target="https://app.powerbi.com/view?r=eyJrIjoiOGViMmI5MGMtM2YxZi00Y2FhLTgyZjUtYWZkNTIwOTc2OWMwIiwidCI6IjZmMGI5NDg3LTRmYTgtNDJhOC1hZWI0LWJmMmUyYzIyZDRlOCIsImMiOjh9&amp;pageName=ReportSectioncf5cecb060e41a7980b0" TargetMode="External"/><Relationship Id="rId5" Type="http://schemas.openxmlformats.org/officeDocument/2006/relationships/hyperlink" Target="https://www.nisra.gov.uk/publications/good-jobs-northern-ireland" TargetMode="External"/><Relationship Id="rId4" Type="http://schemas.openxmlformats.org/officeDocument/2006/relationships/hyperlink" Target="https://www.nisra.gov.uk/statistics/work-pay-and-benefits/annual-survey-hours-and-earnings" TargetMode="External"/><Relationship Id="rId9" Type="http://schemas.openxmlformats.org/officeDocument/2006/relationships/hyperlink" Target="https://nisravis.shinyapps.io/ni_real_earnings_202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2355531\Desktop\Earnings\Earnings%20Data.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2355531\RECORDS-NI_7.1.2\Offline%20Records%20(EC)\Briefing%20~%20-%20Skills%20Briefing%20and%20Analysis%20-%20Briefing%202025%20to%202030(3)\Earnings%20Da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2355531\AppData\Local\Micro%20Focus\Content%20Manager\TEMP\HPTRIM.3380\EC1%2026%200068314%20%20UUEPC%20Earnings%20-%20Graduate%20Premium.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2355531\Desktop\Earnings\Earnings%20Data.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2355531\Desktop\Earnings\Earnings%20Data.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C:\Users\2355531\RECORDS-NI_7.1.2\Offline%20Records%20(EC)\Briefing%20~%20-%20Skills%20Briefing%20and%20Analysis%20-%20Briefing%202025%20to%202030(3)\Earnings%20Data.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2355531\RECORDS-NI_7.1.2\Offline%20Records%20(RN)\ASU%20~%20and%20Inclusion%20-%20Other%20Skills%20Research%20-%20Careers%20Service%20Research\Career%20Change%20Article%20-%20Data.XLSX" TargetMode="External"/><Relationship Id="rId2" Type="http://schemas.microsoft.com/office/2011/relationships/chartColorStyle" Target="colors8.xml"/><Relationship Id="rId1" Type="http://schemas.microsoft.com/office/2011/relationships/chartStyle" Target="style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RLW!$A$23</c:f>
              <c:strCache>
                <c:ptCount val="1"/>
                <c:pt idx="0">
                  <c:v>UK</c:v>
                </c:pt>
              </c:strCache>
            </c:strRef>
          </c:tx>
          <c:spPr>
            <a:ln w="28575" cap="rnd">
              <a:solidFill>
                <a:schemeClr val="accent1"/>
              </a:solidFill>
              <a:round/>
            </a:ln>
            <a:effectLst/>
          </c:spPr>
          <c:marker>
            <c:symbol val="none"/>
          </c:marker>
          <c:cat>
            <c:strRef>
              <c:f>RLW!$B$22:$M$22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RLW!$B$23:$M$23</c:f>
              <c:numCache>
                <c:formatCode>0.0</c:formatCode>
                <c:ptCount val="12"/>
                <c:pt idx="0" formatCode="General">
                  <c:v>22.6</c:v>
                </c:pt>
                <c:pt idx="1">
                  <c:v>22.8</c:v>
                </c:pt>
                <c:pt idx="2" formatCode="#,##0.0">
                  <c:v>23.2</c:v>
                </c:pt>
                <c:pt idx="3" formatCode="#,##0.0">
                  <c:v>22.1</c:v>
                </c:pt>
                <c:pt idx="4" formatCode="#,##0.0">
                  <c:v>22.9</c:v>
                </c:pt>
                <c:pt idx="5" formatCode="#,##0.0">
                  <c:v>20</c:v>
                </c:pt>
                <c:pt idx="6" formatCode="#,##0.0">
                  <c:v>20.2</c:v>
                </c:pt>
                <c:pt idx="7" formatCode="#,##0.0">
                  <c:v>17.100000000000001</c:v>
                </c:pt>
                <c:pt idx="8" formatCode="#,##0.0">
                  <c:v>12.3</c:v>
                </c:pt>
                <c:pt idx="9" formatCode="#,##0.0">
                  <c:v>13</c:v>
                </c:pt>
                <c:pt idx="10" formatCode="#,##0.0">
                  <c:v>15.7</c:v>
                </c:pt>
                <c:pt idx="11" formatCode="#,##0.0">
                  <c:v>14.6</c:v>
                </c:pt>
              </c:numCache>
            </c:numRef>
          </c:val>
          <c:smooth val="0"/>
          <c:extLst>
            <c:ext xmlns:c16="http://schemas.microsoft.com/office/drawing/2014/chart" uri="{C3380CC4-5D6E-409C-BE32-E72D297353CC}">
              <c16:uniqueId val="{00000000-540A-4EED-943E-6DC5AD47051B}"/>
            </c:ext>
          </c:extLst>
        </c:ser>
        <c:ser>
          <c:idx val="1"/>
          <c:order val="1"/>
          <c:tx>
            <c:strRef>
              <c:f>RLW!$A$24</c:f>
              <c:strCache>
                <c:ptCount val="1"/>
                <c:pt idx="0">
                  <c:v>Wales</c:v>
                </c:pt>
              </c:strCache>
            </c:strRef>
          </c:tx>
          <c:spPr>
            <a:ln w="28575" cap="rnd">
              <a:solidFill>
                <a:schemeClr val="accent2"/>
              </a:solidFill>
              <a:round/>
            </a:ln>
            <a:effectLst/>
          </c:spPr>
          <c:marker>
            <c:symbol val="none"/>
          </c:marker>
          <c:cat>
            <c:strRef>
              <c:f>RLW!$B$22:$M$22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RLW!$B$24:$M$24</c:f>
              <c:numCache>
                <c:formatCode>0.0</c:formatCode>
                <c:ptCount val="12"/>
                <c:pt idx="0" formatCode="General">
                  <c:v>24.9</c:v>
                </c:pt>
                <c:pt idx="1">
                  <c:v>25.3</c:v>
                </c:pt>
                <c:pt idx="2" formatCode="#,##0.0">
                  <c:v>25.1</c:v>
                </c:pt>
                <c:pt idx="3" formatCode="#,##0.0">
                  <c:v>24.9</c:v>
                </c:pt>
                <c:pt idx="4" formatCode="#,##0.0">
                  <c:v>26.1</c:v>
                </c:pt>
                <c:pt idx="5" formatCode="#,##0.0">
                  <c:v>22.5</c:v>
                </c:pt>
                <c:pt idx="6" formatCode="#,##0.0">
                  <c:v>22.1</c:v>
                </c:pt>
                <c:pt idx="7" formatCode="#,##0.0">
                  <c:v>17.8</c:v>
                </c:pt>
                <c:pt idx="8" formatCode="#,##0.0">
                  <c:v>12.2</c:v>
                </c:pt>
                <c:pt idx="9" formatCode="#,##0.0">
                  <c:v>13.4</c:v>
                </c:pt>
                <c:pt idx="10" formatCode="#,##0.0">
                  <c:v>15.9</c:v>
                </c:pt>
                <c:pt idx="11" formatCode="#,##0.0">
                  <c:v>16.399999999999999</c:v>
                </c:pt>
              </c:numCache>
            </c:numRef>
          </c:val>
          <c:smooth val="0"/>
          <c:extLst>
            <c:ext xmlns:c16="http://schemas.microsoft.com/office/drawing/2014/chart" uri="{C3380CC4-5D6E-409C-BE32-E72D297353CC}">
              <c16:uniqueId val="{00000001-540A-4EED-943E-6DC5AD47051B}"/>
            </c:ext>
          </c:extLst>
        </c:ser>
        <c:ser>
          <c:idx val="2"/>
          <c:order val="2"/>
          <c:tx>
            <c:strRef>
              <c:f>RLW!$A$25</c:f>
              <c:strCache>
                <c:ptCount val="1"/>
                <c:pt idx="0">
                  <c:v>Scotland</c:v>
                </c:pt>
              </c:strCache>
            </c:strRef>
          </c:tx>
          <c:spPr>
            <a:ln w="28575" cap="rnd">
              <a:solidFill>
                <a:schemeClr val="accent3"/>
              </a:solidFill>
              <a:round/>
            </a:ln>
            <a:effectLst/>
          </c:spPr>
          <c:marker>
            <c:symbol val="none"/>
          </c:marker>
          <c:cat>
            <c:strRef>
              <c:f>RLW!$B$22:$M$22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RLW!$B$25:$M$25</c:f>
              <c:numCache>
                <c:formatCode>0.0</c:formatCode>
                <c:ptCount val="12"/>
                <c:pt idx="0" formatCode="General">
                  <c:v>19.3</c:v>
                </c:pt>
                <c:pt idx="1">
                  <c:v>19.600000000000001</c:v>
                </c:pt>
                <c:pt idx="2" formatCode="#,##0.0">
                  <c:v>20.100000000000001</c:v>
                </c:pt>
                <c:pt idx="3" formatCode="#,##0.0">
                  <c:v>18.399999999999999</c:v>
                </c:pt>
                <c:pt idx="4" formatCode="#,##0.0">
                  <c:v>19.399999999999999</c:v>
                </c:pt>
                <c:pt idx="5" formatCode="#,##0.0">
                  <c:v>16.8</c:v>
                </c:pt>
                <c:pt idx="6" formatCode="#,##0.0">
                  <c:v>15.1</c:v>
                </c:pt>
                <c:pt idx="7" formatCode="#,##0.0">
                  <c:v>14.5</c:v>
                </c:pt>
                <c:pt idx="8" formatCode="#,##0.0">
                  <c:v>9.4</c:v>
                </c:pt>
                <c:pt idx="9" formatCode="#,##0.0">
                  <c:v>10.199999999999999</c:v>
                </c:pt>
                <c:pt idx="10" formatCode="#,##0.0">
                  <c:v>11.5</c:v>
                </c:pt>
                <c:pt idx="11" formatCode="#,##0.0">
                  <c:v>11.3</c:v>
                </c:pt>
              </c:numCache>
            </c:numRef>
          </c:val>
          <c:smooth val="0"/>
          <c:extLst>
            <c:ext xmlns:c16="http://schemas.microsoft.com/office/drawing/2014/chart" uri="{C3380CC4-5D6E-409C-BE32-E72D297353CC}">
              <c16:uniqueId val="{00000002-540A-4EED-943E-6DC5AD47051B}"/>
            </c:ext>
          </c:extLst>
        </c:ser>
        <c:ser>
          <c:idx val="3"/>
          <c:order val="3"/>
          <c:tx>
            <c:strRef>
              <c:f>RLW!$A$26</c:f>
              <c:strCache>
                <c:ptCount val="1"/>
                <c:pt idx="0">
                  <c:v>Northern Ireland</c:v>
                </c:pt>
              </c:strCache>
            </c:strRef>
          </c:tx>
          <c:spPr>
            <a:ln w="28575" cap="rnd">
              <a:solidFill>
                <a:schemeClr val="accent4"/>
              </a:solidFill>
              <a:round/>
            </a:ln>
            <a:effectLst/>
          </c:spPr>
          <c:marker>
            <c:symbol val="none"/>
          </c:marker>
          <c:dLbls>
            <c:dLbl>
              <c:idx val="11"/>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40A-4EED-943E-6DC5AD47051B}"/>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RLW!$B$22:$M$22</c:f>
              <c:strCache>
                <c:ptCount val="12"/>
                <c:pt idx="0">
                  <c:v>2014</c:v>
                </c:pt>
                <c:pt idx="1">
                  <c:v>2015</c:v>
                </c:pt>
                <c:pt idx="2">
                  <c:v>2016</c:v>
                </c:pt>
                <c:pt idx="3">
                  <c:v>2017</c:v>
                </c:pt>
                <c:pt idx="4">
                  <c:v>2018</c:v>
                </c:pt>
                <c:pt idx="5">
                  <c:v>2019</c:v>
                </c:pt>
                <c:pt idx="6">
                  <c:v>2020</c:v>
                </c:pt>
                <c:pt idx="7">
                  <c:v>2021</c:v>
                </c:pt>
                <c:pt idx="8">
                  <c:v>2022</c:v>
                </c:pt>
                <c:pt idx="9">
                  <c:v>2023</c:v>
                </c:pt>
                <c:pt idx="10">
                  <c:v>2024</c:v>
                </c:pt>
                <c:pt idx="11">
                  <c:v>2025</c:v>
                </c:pt>
              </c:strCache>
            </c:strRef>
          </c:cat>
          <c:val>
            <c:numRef>
              <c:f>RLW!$B$26:$M$26</c:f>
              <c:numCache>
                <c:formatCode>0.0</c:formatCode>
                <c:ptCount val="12"/>
                <c:pt idx="0" formatCode="General">
                  <c:v>27.9</c:v>
                </c:pt>
                <c:pt idx="1">
                  <c:v>27.3</c:v>
                </c:pt>
                <c:pt idx="2" formatCode="#,##0.0">
                  <c:v>29.6</c:v>
                </c:pt>
                <c:pt idx="3" formatCode="#,##0.0">
                  <c:v>27.9</c:v>
                </c:pt>
                <c:pt idx="4" formatCode="#,##0.0">
                  <c:v>28</c:v>
                </c:pt>
                <c:pt idx="5" formatCode="#,##0.0">
                  <c:v>25.1</c:v>
                </c:pt>
                <c:pt idx="6" formatCode="#,##0.0">
                  <c:v>26.2</c:v>
                </c:pt>
                <c:pt idx="7" formatCode="#,##0.0">
                  <c:v>21.1</c:v>
                </c:pt>
                <c:pt idx="8" formatCode="#,##0.0">
                  <c:v>14.4</c:v>
                </c:pt>
                <c:pt idx="9" formatCode="#,##0.0">
                  <c:v>16</c:v>
                </c:pt>
                <c:pt idx="10" formatCode="#,##0.0">
                  <c:v>20.100000000000001</c:v>
                </c:pt>
                <c:pt idx="11" formatCode="#,##0.0">
                  <c:v>17.3</c:v>
                </c:pt>
              </c:numCache>
            </c:numRef>
          </c:val>
          <c:smooth val="0"/>
          <c:extLst>
            <c:ext xmlns:c16="http://schemas.microsoft.com/office/drawing/2014/chart" uri="{C3380CC4-5D6E-409C-BE32-E72D297353CC}">
              <c16:uniqueId val="{00000004-540A-4EED-943E-6DC5AD47051B}"/>
            </c:ext>
          </c:extLst>
        </c:ser>
        <c:dLbls>
          <c:showLegendKey val="0"/>
          <c:showVal val="0"/>
          <c:showCatName val="0"/>
          <c:showSerName val="0"/>
          <c:showPercent val="0"/>
          <c:showBubbleSize val="0"/>
        </c:dLbls>
        <c:smooth val="0"/>
        <c:axId val="1215804184"/>
        <c:axId val="1215804544"/>
      </c:lineChart>
      <c:catAx>
        <c:axId val="12158041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15804544"/>
        <c:crosses val="autoZero"/>
        <c:auto val="1"/>
        <c:lblAlgn val="ctr"/>
        <c:lblOffset val="100"/>
        <c:noMultiLvlLbl val="0"/>
      </c:catAx>
      <c:valAx>
        <c:axId val="121580454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GB" b="1"/>
                  <a:t>Percentage</a:t>
                </a:r>
                <a:r>
                  <a:rPr lang="en-GB" b="1" baseline="0"/>
                  <a:t> Employees Earning Below RLW</a:t>
                </a:r>
                <a:endParaRPr lang="en-GB"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15804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RLW!$M$7</c:f>
              <c:strCache>
                <c:ptCount val="1"/>
                <c:pt idx="0">
                  <c:v>11</c:v>
                </c:pt>
              </c:strCache>
            </c:strRef>
          </c:tx>
          <c:spPr>
            <a:solidFill>
              <a:schemeClr val="accent1"/>
            </a:solidFill>
            <a:ln>
              <a:noFill/>
            </a:ln>
            <a:effectLst/>
          </c:spPr>
          <c:invertIfNegative val="0"/>
          <c:dPt>
            <c:idx val="11"/>
            <c:invertIfNegative val="0"/>
            <c:bubble3D val="0"/>
            <c:spPr>
              <a:solidFill>
                <a:srgbClr val="FF0000"/>
              </a:solidFill>
              <a:ln>
                <a:solidFill>
                  <a:srgbClr val="FF0000"/>
                </a:solidFill>
              </a:ln>
              <a:effectLst/>
            </c:spPr>
            <c:extLst>
              <c:ext xmlns:c16="http://schemas.microsoft.com/office/drawing/2014/chart" uri="{C3380CC4-5D6E-409C-BE32-E72D297353CC}">
                <c16:uniqueId val="{00000001-8502-48B2-80F1-1FFC016EECAE}"/>
              </c:ext>
            </c:extLst>
          </c:dPt>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RLW!$A$7:$A$19</c:f>
              <c:strCache>
                <c:ptCount val="13"/>
                <c:pt idx="0">
                  <c:v>Scotland</c:v>
                </c:pt>
                <c:pt idx="1">
                  <c:v>South East</c:v>
                </c:pt>
                <c:pt idx="2">
                  <c:v>London</c:v>
                </c:pt>
                <c:pt idx="3">
                  <c:v>South West</c:v>
                </c:pt>
                <c:pt idx="4">
                  <c:v>East</c:v>
                </c:pt>
                <c:pt idx="5">
                  <c:v>UK</c:v>
                </c:pt>
                <c:pt idx="6">
                  <c:v>North West</c:v>
                </c:pt>
                <c:pt idx="7">
                  <c:v>Wales</c:v>
                </c:pt>
                <c:pt idx="8">
                  <c:v>Yorkshire and The Humber</c:v>
                </c:pt>
                <c:pt idx="9">
                  <c:v>West Midlands</c:v>
                </c:pt>
                <c:pt idx="10">
                  <c:v>East Midlands</c:v>
                </c:pt>
                <c:pt idx="11">
                  <c:v>Northern Ireland</c:v>
                </c:pt>
                <c:pt idx="12">
                  <c:v>North East</c:v>
                </c:pt>
              </c:strCache>
            </c:strRef>
          </c:cat>
          <c:val>
            <c:numRef>
              <c:f>RLW!$M$7:$M$19</c:f>
              <c:numCache>
                <c:formatCode>#,##0</c:formatCode>
                <c:ptCount val="13"/>
                <c:pt idx="0">
                  <c:v>11.3</c:v>
                </c:pt>
                <c:pt idx="1">
                  <c:v>12.2</c:v>
                </c:pt>
                <c:pt idx="2">
                  <c:v>13.3</c:v>
                </c:pt>
                <c:pt idx="3">
                  <c:v>14.2</c:v>
                </c:pt>
                <c:pt idx="4">
                  <c:v>14.3</c:v>
                </c:pt>
                <c:pt idx="5">
                  <c:v>14.6</c:v>
                </c:pt>
                <c:pt idx="6">
                  <c:v>14.9</c:v>
                </c:pt>
                <c:pt idx="7">
                  <c:v>16.399999999999999</c:v>
                </c:pt>
                <c:pt idx="8">
                  <c:v>16.5</c:v>
                </c:pt>
                <c:pt idx="9">
                  <c:v>16.5</c:v>
                </c:pt>
                <c:pt idx="10">
                  <c:v>17.2</c:v>
                </c:pt>
                <c:pt idx="11">
                  <c:v>17.3</c:v>
                </c:pt>
                <c:pt idx="12">
                  <c:v>18.8</c:v>
                </c:pt>
              </c:numCache>
            </c:numRef>
          </c:val>
          <c:extLst>
            <c:ext xmlns:c16="http://schemas.microsoft.com/office/drawing/2014/chart" uri="{C3380CC4-5D6E-409C-BE32-E72D297353CC}">
              <c16:uniqueId val="{00000002-8502-48B2-80F1-1FFC016EECAE}"/>
            </c:ext>
          </c:extLst>
        </c:ser>
        <c:dLbls>
          <c:dLblPos val="inEnd"/>
          <c:showLegendKey val="0"/>
          <c:showVal val="1"/>
          <c:showCatName val="0"/>
          <c:showSerName val="0"/>
          <c:showPercent val="0"/>
          <c:showBubbleSize val="0"/>
        </c:dLbls>
        <c:gapWidth val="44"/>
        <c:axId val="1213686904"/>
        <c:axId val="1213686544"/>
      </c:barChart>
      <c:catAx>
        <c:axId val="12136869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13686544"/>
        <c:crosses val="autoZero"/>
        <c:auto val="1"/>
        <c:lblAlgn val="ctr"/>
        <c:lblOffset val="100"/>
        <c:noMultiLvlLbl val="0"/>
      </c:catAx>
      <c:valAx>
        <c:axId val="121368654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GB" b="1"/>
                  <a:t>Proportion</a:t>
                </a:r>
                <a:r>
                  <a:rPr lang="en-GB" b="1" baseline="0"/>
                  <a:t> Employee Jobs below RLW %</a:t>
                </a:r>
                <a:endParaRPr lang="en-GB" b="1"/>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GB"/>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13686904"/>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'working - draft'!$A$3</c:f>
              <c:strCache>
                <c:ptCount val="1"/>
                <c:pt idx="0">
                  <c:v>L2 and below</c:v>
                </c:pt>
              </c:strCache>
            </c:strRef>
          </c:tx>
          <c:spPr>
            <a:ln w="28575" cap="rnd">
              <a:solidFill>
                <a:schemeClr val="accent1"/>
              </a:solidFill>
              <a:round/>
            </a:ln>
            <a:effectLst/>
          </c:spPr>
          <c:marker>
            <c:symbol val="none"/>
          </c:marker>
          <c:dLbls>
            <c:dLbl>
              <c:idx val="22"/>
              <c:layout>
                <c:manualLayout>
                  <c:x val="-6.7985163826354226E-3"/>
                  <c:y val="2.908540278619018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BB0-4879-9EE2-839013532FE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'working - draft'!$B$2:$X$2</c:f>
              <c:numCache>
                <c:formatCode>General</c:formatCode>
                <c:ptCount val="2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pt idx="21">
                  <c:v>2024</c:v>
                </c:pt>
                <c:pt idx="22">
                  <c:v>2025</c:v>
                </c:pt>
              </c:numCache>
            </c:numRef>
          </c:cat>
          <c:val>
            <c:numRef>
              <c:f>'working - draft'!$B$3:$X$3</c:f>
              <c:numCache>
                <c:formatCode>General</c:formatCode>
                <c:ptCount val="23"/>
                <c:pt idx="0">
                  <c:v>222</c:v>
                </c:pt>
                <c:pt idx="1">
                  <c:v>231</c:v>
                </c:pt>
                <c:pt idx="2">
                  <c:v>236</c:v>
                </c:pt>
                <c:pt idx="3">
                  <c:v>258</c:v>
                </c:pt>
                <c:pt idx="4">
                  <c:v>265</c:v>
                </c:pt>
                <c:pt idx="5">
                  <c:v>275</c:v>
                </c:pt>
                <c:pt idx="6">
                  <c:v>278</c:v>
                </c:pt>
                <c:pt idx="7">
                  <c:v>274</c:v>
                </c:pt>
                <c:pt idx="8">
                  <c:v>281</c:v>
                </c:pt>
                <c:pt idx="9">
                  <c:v>291</c:v>
                </c:pt>
                <c:pt idx="10">
                  <c:v>297</c:v>
                </c:pt>
                <c:pt idx="11">
                  <c:v>284</c:v>
                </c:pt>
                <c:pt idx="12">
                  <c:v>308</c:v>
                </c:pt>
                <c:pt idx="13">
                  <c:v>306</c:v>
                </c:pt>
                <c:pt idx="14">
                  <c:v>312</c:v>
                </c:pt>
                <c:pt idx="15">
                  <c:v>330</c:v>
                </c:pt>
                <c:pt idx="16">
                  <c:v>336</c:v>
                </c:pt>
                <c:pt idx="17">
                  <c:v>374</c:v>
                </c:pt>
                <c:pt idx="18">
                  <c:v>366</c:v>
                </c:pt>
                <c:pt idx="19">
                  <c:v>382</c:v>
                </c:pt>
                <c:pt idx="20">
                  <c:v>397</c:v>
                </c:pt>
                <c:pt idx="21">
                  <c:v>419</c:v>
                </c:pt>
                <c:pt idx="22">
                  <c:v>465</c:v>
                </c:pt>
              </c:numCache>
            </c:numRef>
          </c:val>
          <c:smooth val="0"/>
          <c:extLst>
            <c:ext xmlns:c16="http://schemas.microsoft.com/office/drawing/2014/chart" uri="{C3380CC4-5D6E-409C-BE32-E72D297353CC}">
              <c16:uniqueId val="{00000001-CBB0-4879-9EE2-839013532FED}"/>
            </c:ext>
          </c:extLst>
        </c:ser>
        <c:ser>
          <c:idx val="1"/>
          <c:order val="1"/>
          <c:tx>
            <c:strRef>
              <c:f>'working - draft'!$A$4</c:f>
              <c:strCache>
                <c:ptCount val="1"/>
                <c:pt idx="0">
                  <c:v>L3</c:v>
                </c:pt>
              </c:strCache>
            </c:strRef>
          </c:tx>
          <c:spPr>
            <a:ln w="28575" cap="rnd">
              <a:solidFill>
                <a:schemeClr val="accent2"/>
              </a:solidFill>
              <a:round/>
            </a:ln>
            <a:effectLst/>
          </c:spPr>
          <c:marker>
            <c:symbol val="none"/>
          </c:marker>
          <c:dLbls>
            <c:dLbl>
              <c:idx val="22"/>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BB0-4879-9EE2-839013532FE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'working - draft'!$B$2:$X$2</c:f>
              <c:numCache>
                <c:formatCode>General</c:formatCode>
                <c:ptCount val="2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pt idx="21">
                  <c:v>2024</c:v>
                </c:pt>
                <c:pt idx="22">
                  <c:v>2025</c:v>
                </c:pt>
              </c:numCache>
            </c:numRef>
          </c:cat>
          <c:val>
            <c:numRef>
              <c:f>'working - draft'!$B$4:$X$4</c:f>
              <c:numCache>
                <c:formatCode>General</c:formatCode>
                <c:ptCount val="23"/>
                <c:pt idx="5">
                  <c:v>348</c:v>
                </c:pt>
                <c:pt idx="6">
                  <c:v>332</c:v>
                </c:pt>
                <c:pt idx="7">
                  <c:v>319</c:v>
                </c:pt>
                <c:pt idx="8">
                  <c:v>348</c:v>
                </c:pt>
                <c:pt idx="9">
                  <c:v>314</c:v>
                </c:pt>
                <c:pt idx="10">
                  <c:v>333</c:v>
                </c:pt>
                <c:pt idx="11">
                  <c:v>341</c:v>
                </c:pt>
                <c:pt idx="12">
                  <c:v>359</c:v>
                </c:pt>
                <c:pt idx="13">
                  <c:v>349</c:v>
                </c:pt>
                <c:pt idx="14">
                  <c:v>363</c:v>
                </c:pt>
                <c:pt idx="15">
                  <c:v>402</c:v>
                </c:pt>
                <c:pt idx="16">
                  <c:v>375</c:v>
                </c:pt>
                <c:pt idx="17">
                  <c:v>396</c:v>
                </c:pt>
                <c:pt idx="18">
                  <c:v>415</c:v>
                </c:pt>
                <c:pt idx="19">
                  <c:v>445</c:v>
                </c:pt>
                <c:pt idx="20">
                  <c:v>435</c:v>
                </c:pt>
                <c:pt idx="21">
                  <c:v>460</c:v>
                </c:pt>
                <c:pt idx="22">
                  <c:v>495</c:v>
                </c:pt>
              </c:numCache>
            </c:numRef>
          </c:val>
          <c:smooth val="0"/>
          <c:extLst>
            <c:ext xmlns:c16="http://schemas.microsoft.com/office/drawing/2014/chart" uri="{C3380CC4-5D6E-409C-BE32-E72D297353CC}">
              <c16:uniqueId val="{00000003-CBB0-4879-9EE2-839013532FED}"/>
            </c:ext>
          </c:extLst>
        </c:ser>
        <c:ser>
          <c:idx val="2"/>
          <c:order val="2"/>
          <c:tx>
            <c:strRef>
              <c:f>'working - draft'!$A$5</c:f>
              <c:strCache>
                <c:ptCount val="1"/>
                <c:pt idx="0">
                  <c:v>L4-5</c:v>
                </c:pt>
              </c:strCache>
            </c:strRef>
          </c:tx>
          <c:spPr>
            <a:ln w="28575" cap="rnd">
              <a:solidFill>
                <a:schemeClr val="accent3"/>
              </a:solidFill>
              <a:round/>
            </a:ln>
            <a:effectLst/>
          </c:spPr>
          <c:marker>
            <c:symbol val="none"/>
          </c:marker>
          <c:dLbls>
            <c:dLbl>
              <c:idx val="22"/>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BB0-4879-9EE2-839013532FE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'working - draft'!$B$2:$X$2</c:f>
              <c:numCache>
                <c:formatCode>General</c:formatCode>
                <c:ptCount val="2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pt idx="21">
                  <c:v>2024</c:v>
                </c:pt>
                <c:pt idx="22">
                  <c:v>2025</c:v>
                </c:pt>
              </c:numCache>
            </c:numRef>
          </c:cat>
          <c:val>
            <c:numRef>
              <c:f>'working - draft'!$B$5:$X$5</c:f>
              <c:numCache>
                <c:formatCode>General</c:formatCode>
                <c:ptCount val="23"/>
                <c:pt idx="0">
                  <c:v>356</c:v>
                </c:pt>
                <c:pt idx="1">
                  <c:v>370</c:v>
                </c:pt>
                <c:pt idx="2">
                  <c:v>390</c:v>
                </c:pt>
                <c:pt idx="3">
                  <c:v>410</c:v>
                </c:pt>
                <c:pt idx="4">
                  <c:v>390</c:v>
                </c:pt>
                <c:pt idx="5">
                  <c:v>418</c:v>
                </c:pt>
                <c:pt idx="6">
                  <c:v>434</c:v>
                </c:pt>
                <c:pt idx="7">
                  <c:v>433</c:v>
                </c:pt>
                <c:pt idx="8">
                  <c:v>464</c:v>
                </c:pt>
                <c:pt idx="9">
                  <c:v>495</c:v>
                </c:pt>
                <c:pt idx="10">
                  <c:v>492</c:v>
                </c:pt>
                <c:pt idx="11">
                  <c:v>481</c:v>
                </c:pt>
                <c:pt idx="12">
                  <c:v>456</c:v>
                </c:pt>
                <c:pt idx="13">
                  <c:v>456</c:v>
                </c:pt>
                <c:pt idx="14">
                  <c:v>473</c:v>
                </c:pt>
                <c:pt idx="15">
                  <c:v>495</c:v>
                </c:pt>
                <c:pt idx="16">
                  <c:v>503</c:v>
                </c:pt>
                <c:pt idx="17">
                  <c:v>498</c:v>
                </c:pt>
                <c:pt idx="18">
                  <c:v>502</c:v>
                </c:pt>
                <c:pt idx="19">
                  <c:v>549</c:v>
                </c:pt>
                <c:pt idx="20">
                  <c:v>564</c:v>
                </c:pt>
                <c:pt idx="21">
                  <c:v>602</c:v>
                </c:pt>
                <c:pt idx="22">
                  <c:v>644</c:v>
                </c:pt>
              </c:numCache>
            </c:numRef>
          </c:val>
          <c:smooth val="0"/>
          <c:extLst>
            <c:ext xmlns:c16="http://schemas.microsoft.com/office/drawing/2014/chart" uri="{C3380CC4-5D6E-409C-BE32-E72D297353CC}">
              <c16:uniqueId val="{00000005-CBB0-4879-9EE2-839013532FED}"/>
            </c:ext>
          </c:extLst>
        </c:ser>
        <c:ser>
          <c:idx val="3"/>
          <c:order val="3"/>
          <c:tx>
            <c:strRef>
              <c:f>'working - draft'!$A$6</c:f>
              <c:strCache>
                <c:ptCount val="1"/>
                <c:pt idx="0">
                  <c:v>L6+</c:v>
                </c:pt>
              </c:strCache>
            </c:strRef>
          </c:tx>
          <c:spPr>
            <a:ln w="28575" cap="rnd">
              <a:solidFill>
                <a:schemeClr val="accent4"/>
              </a:solidFill>
              <a:round/>
            </a:ln>
            <a:effectLst/>
          </c:spPr>
          <c:marker>
            <c:symbol val="none"/>
          </c:marker>
          <c:dLbls>
            <c:dLbl>
              <c:idx val="22"/>
              <c:dLblPos val="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BB0-4879-9EE2-839013532FED}"/>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'working - draft'!$B$2:$X$2</c:f>
              <c:numCache>
                <c:formatCode>General</c:formatCode>
                <c:ptCount val="23"/>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c:v>
                </c:pt>
                <c:pt idx="21">
                  <c:v>2024</c:v>
                </c:pt>
                <c:pt idx="22">
                  <c:v>2025</c:v>
                </c:pt>
              </c:numCache>
            </c:numRef>
          </c:cat>
          <c:val>
            <c:numRef>
              <c:f>'working - draft'!$B$6:$X$6</c:f>
              <c:numCache>
                <c:formatCode>General</c:formatCode>
                <c:ptCount val="23"/>
                <c:pt idx="0">
                  <c:v>481</c:v>
                </c:pt>
                <c:pt idx="1">
                  <c:v>480</c:v>
                </c:pt>
                <c:pt idx="2">
                  <c:v>546</c:v>
                </c:pt>
                <c:pt idx="3">
                  <c:v>506</c:v>
                </c:pt>
                <c:pt idx="4">
                  <c:v>560</c:v>
                </c:pt>
                <c:pt idx="5">
                  <c:v>573</c:v>
                </c:pt>
                <c:pt idx="6">
                  <c:v>519</c:v>
                </c:pt>
                <c:pt idx="7">
                  <c:v>606</c:v>
                </c:pt>
                <c:pt idx="8">
                  <c:v>546</c:v>
                </c:pt>
                <c:pt idx="9">
                  <c:v>587</c:v>
                </c:pt>
                <c:pt idx="10">
                  <c:v>572</c:v>
                </c:pt>
                <c:pt idx="11">
                  <c:v>565</c:v>
                </c:pt>
                <c:pt idx="12">
                  <c:v>582</c:v>
                </c:pt>
                <c:pt idx="13">
                  <c:v>588</c:v>
                </c:pt>
                <c:pt idx="14">
                  <c:v>638</c:v>
                </c:pt>
                <c:pt idx="15">
                  <c:v>629</c:v>
                </c:pt>
                <c:pt idx="16">
                  <c:v>615</c:v>
                </c:pt>
                <c:pt idx="17">
                  <c:v>617</c:v>
                </c:pt>
                <c:pt idx="18">
                  <c:v>634</c:v>
                </c:pt>
                <c:pt idx="19">
                  <c:v>664</c:v>
                </c:pt>
                <c:pt idx="20">
                  <c:v>682</c:v>
                </c:pt>
                <c:pt idx="21">
                  <c:v>759</c:v>
                </c:pt>
                <c:pt idx="22">
                  <c:v>789</c:v>
                </c:pt>
              </c:numCache>
            </c:numRef>
          </c:val>
          <c:smooth val="0"/>
          <c:extLst>
            <c:ext xmlns:c16="http://schemas.microsoft.com/office/drawing/2014/chart" uri="{C3380CC4-5D6E-409C-BE32-E72D297353CC}">
              <c16:uniqueId val="{00000007-CBB0-4879-9EE2-839013532FED}"/>
            </c:ext>
          </c:extLst>
        </c:ser>
        <c:dLbls>
          <c:showLegendKey val="0"/>
          <c:showVal val="0"/>
          <c:showCatName val="0"/>
          <c:showSerName val="0"/>
          <c:showPercent val="0"/>
          <c:showBubbleSize val="0"/>
        </c:dLbls>
        <c:smooth val="0"/>
        <c:axId val="823187464"/>
        <c:axId val="823187824"/>
      </c:lineChart>
      <c:catAx>
        <c:axId val="8231874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23187824"/>
        <c:crosses val="autoZero"/>
        <c:auto val="1"/>
        <c:lblAlgn val="ctr"/>
        <c:lblOffset val="100"/>
        <c:noMultiLvlLbl val="0"/>
      </c:catAx>
      <c:valAx>
        <c:axId val="82318782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GB" b="1"/>
                  <a:t>Earnings</a:t>
                </a:r>
                <a:r>
                  <a:rPr lang="en-GB" b="1" baseline="0"/>
                  <a:t> £</a:t>
                </a:r>
                <a:endParaRPr lang="en-GB"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823187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Skills!$F$14</c:f>
              <c:strCache>
                <c:ptCount val="1"/>
                <c:pt idx="0">
                  <c:v>L2 and below</c:v>
                </c:pt>
              </c:strCache>
            </c:strRef>
          </c:tx>
          <c:spPr>
            <a:ln w="28575" cap="rnd">
              <a:solidFill>
                <a:schemeClr val="accent1"/>
              </a:solidFill>
              <a:round/>
            </a:ln>
            <a:effectLst/>
          </c:spPr>
          <c:marker>
            <c:symbol val="none"/>
          </c:marker>
          <c:cat>
            <c:numRef>
              <c:f>Skills!$G$13:$X$13</c:f>
              <c:numCache>
                <c:formatCode>General</c:formatCod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numCache>
            </c:numRef>
          </c:cat>
          <c:val>
            <c:numRef>
              <c:f>Skills!$G$14:$X$14</c:f>
              <c:numCache>
                <c:formatCode>General</c:formatCode>
                <c:ptCount val="18"/>
                <c:pt idx="0">
                  <c:v>100</c:v>
                </c:pt>
                <c:pt idx="1">
                  <c:v>101.09090909090909</c:v>
                </c:pt>
                <c:pt idx="2">
                  <c:v>99.63636363636364</c:v>
                </c:pt>
                <c:pt idx="3">
                  <c:v>102.18181818181817</c:v>
                </c:pt>
                <c:pt idx="4">
                  <c:v>105.81818181818181</c:v>
                </c:pt>
                <c:pt idx="5">
                  <c:v>108</c:v>
                </c:pt>
                <c:pt idx="6">
                  <c:v>103.27272727272727</c:v>
                </c:pt>
                <c:pt idx="7">
                  <c:v>112.00000000000001</c:v>
                </c:pt>
                <c:pt idx="8">
                  <c:v>111.27272727272728</c:v>
                </c:pt>
                <c:pt idx="9">
                  <c:v>113.45454545454545</c:v>
                </c:pt>
                <c:pt idx="10">
                  <c:v>120</c:v>
                </c:pt>
                <c:pt idx="11">
                  <c:v>122.18181818181819</c:v>
                </c:pt>
                <c:pt idx="12">
                  <c:v>136</c:v>
                </c:pt>
                <c:pt idx="13">
                  <c:v>133.09090909090909</c:v>
                </c:pt>
                <c:pt idx="14">
                  <c:v>138.90909090909091</c:v>
                </c:pt>
                <c:pt idx="15">
                  <c:v>144.36363636363637</c:v>
                </c:pt>
                <c:pt idx="16">
                  <c:v>152.36363636363637</c:v>
                </c:pt>
                <c:pt idx="17">
                  <c:v>169.09090909090909</c:v>
                </c:pt>
              </c:numCache>
            </c:numRef>
          </c:val>
          <c:smooth val="0"/>
          <c:extLst>
            <c:ext xmlns:c16="http://schemas.microsoft.com/office/drawing/2014/chart" uri="{C3380CC4-5D6E-409C-BE32-E72D297353CC}">
              <c16:uniqueId val="{00000000-1C2F-4AF7-8C49-CC0F0BA4F44E}"/>
            </c:ext>
          </c:extLst>
        </c:ser>
        <c:ser>
          <c:idx val="1"/>
          <c:order val="1"/>
          <c:tx>
            <c:strRef>
              <c:f>Skills!$F$15</c:f>
              <c:strCache>
                <c:ptCount val="1"/>
                <c:pt idx="0">
                  <c:v>L3</c:v>
                </c:pt>
              </c:strCache>
            </c:strRef>
          </c:tx>
          <c:spPr>
            <a:ln w="28575" cap="rnd">
              <a:solidFill>
                <a:schemeClr val="accent2"/>
              </a:solidFill>
              <a:round/>
            </a:ln>
            <a:effectLst/>
          </c:spPr>
          <c:marker>
            <c:symbol val="none"/>
          </c:marker>
          <c:cat>
            <c:numRef>
              <c:f>Skills!$G$13:$X$13</c:f>
              <c:numCache>
                <c:formatCode>General</c:formatCod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numCache>
            </c:numRef>
          </c:cat>
          <c:val>
            <c:numRef>
              <c:f>Skills!$G$15:$X$15</c:f>
              <c:numCache>
                <c:formatCode>General</c:formatCode>
                <c:ptCount val="18"/>
                <c:pt idx="0">
                  <c:v>100</c:v>
                </c:pt>
                <c:pt idx="1">
                  <c:v>95.402298850574709</c:v>
                </c:pt>
                <c:pt idx="2">
                  <c:v>91.666666666666657</c:v>
                </c:pt>
                <c:pt idx="3">
                  <c:v>100</c:v>
                </c:pt>
                <c:pt idx="4">
                  <c:v>90.229885057471265</c:v>
                </c:pt>
                <c:pt idx="5">
                  <c:v>95.689655172413794</c:v>
                </c:pt>
                <c:pt idx="6">
                  <c:v>97.988505747126439</c:v>
                </c:pt>
                <c:pt idx="7">
                  <c:v>103.16091954022988</c:v>
                </c:pt>
                <c:pt idx="8">
                  <c:v>100.28735632183907</c:v>
                </c:pt>
                <c:pt idx="9">
                  <c:v>104.31034482758621</c:v>
                </c:pt>
                <c:pt idx="10">
                  <c:v>115.51724137931035</c:v>
                </c:pt>
                <c:pt idx="11">
                  <c:v>107.75862068965519</c:v>
                </c:pt>
                <c:pt idx="12">
                  <c:v>113.79310344827587</c:v>
                </c:pt>
                <c:pt idx="13">
                  <c:v>119.25287356321839</c:v>
                </c:pt>
                <c:pt idx="14">
                  <c:v>127.87356321839081</c:v>
                </c:pt>
                <c:pt idx="15">
                  <c:v>125</c:v>
                </c:pt>
                <c:pt idx="16">
                  <c:v>132.18390804597701</c:v>
                </c:pt>
                <c:pt idx="17">
                  <c:v>142.24137931034483</c:v>
                </c:pt>
              </c:numCache>
            </c:numRef>
          </c:val>
          <c:smooth val="0"/>
          <c:extLst>
            <c:ext xmlns:c16="http://schemas.microsoft.com/office/drawing/2014/chart" uri="{C3380CC4-5D6E-409C-BE32-E72D297353CC}">
              <c16:uniqueId val="{00000001-1C2F-4AF7-8C49-CC0F0BA4F44E}"/>
            </c:ext>
          </c:extLst>
        </c:ser>
        <c:ser>
          <c:idx val="2"/>
          <c:order val="2"/>
          <c:tx>
            <c:strRef>
              <c:f>Skills!$F$16</c:f>
              <c:strCache>
                <c:ptCount val="1"/>
                <c:pt idx="0">
                  <c:v>L4-5</c:v>
                </c:pt>
              </c:strCache>
            </c:strRef>
          </c:tx>
          <c:spPr>
            <a:ln w="28575" cap="rnd">
              <a:solidFill>
                <a:schemeClr val="accent3"/>
              </a:solidFill>
              <a:round/>
            </a:ln>
            <a:effectLst/>
          </c:spPr>
          <c:marker>
            <c:symbol val="none"/>
          </c:marker>
          <c:cat>
            <c:numRef>
              <c:f>Skills!$G$13:$X$13</c:f>
              <c:numCache>
                <c:formatCode>General</c:formatCod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numCache>
            </c:numRef>
          </c:cat>
          <c:val>
            <c:numRef>
              <c:f>Skills!$G$16:$X$16</c:f>
              <c:numCache>
                <c:formatCode>General</c:formatCode>
                <c:ptCount val="18"/>
                <c:pt idx="0">
                  <c:v>100</c:v>
                </c:pt>
                <c:pt idx="1">
                  <c:v>103.82775119617224</c:v>
                </c:pt>
                <c:pt idx="2">
                  <c:v>103.58851674641147</c:v>
                </c:pt>
                <c:pt idx="3">
                  <c:v>111.00478468899522</c:v>
                </c:pt>
                <c:pt idx="4">
                  <c:v>118.42105263157893</c:v>
                </c:pt>
                <c:pt idx="5">
                  <c:v>117.70334928229664</c:v>
                </c:pt>
                <c:pt idx="6">
                  <c:v>115.07177033492823</c:v>
                </c:pt>
                <c:pt idx="7">
                  <c:v>109.09090909090908</c:v>
                </c:pt>
                <c:pt idx="8">
                  <c:v>109.09090909090908</c:v>
                </c:pt>
                <c:pt idx="9">
                  <c:v>113.1578947368421</c:v>
                </c:pt>
                <c:pt idx="10">
                  <c:v>118.42105263157893</c:v>
                </c:pt>
                <c:pt idx="11">
                  <c:v>120.33492822966507</c:v>
                </c:pt>
                <c:pt idx="12">
                  <c:v>119.13875598086125</c:v>
                </c:pt>
                <c:pt idx="13">
                  <c:v>120.09569377990429</c:v>
                </c:pt>
                <c:pt idx="14">
                  <c:v>131.3397129186603</c:v>
                </c:pt>
                <c:pt idx="15">
                  <c:v>134.92822966507177</c:v>
                </c:pt>
                <c:pt idx="16">
                  <c:v>144.01913875598086</c:v>
                </c:pt>
                <c:pt idx="17">
                  <c:v>154.06698564593302</c:v>
                </c:pt>
              </c:numCache>
            </c:numRef>
          </c:val>
          <c:smooth val="0"/>
          <c:extLst>
            <c:ext xmlns:c16="http://schemas.microsoft.com/office/drawing/2014/chart" uri="{C3380CC4-5D6E-409C-BE32-E72D297353CC}">
              <c16:uniqueId val="{00000002-1C2F-4AF7-8C49-CC0F0BA4F44E}"/>
            </c:ext>
          </c:extLst>
        </c:ser>
        <c:ser>
          <c:idx val="3"/>
          <c:order val="3"/>
          <c:tx>
            <c:strRef>
              <c:f>Skills!$F$17</c:f>
              <c:strCache>
                <c:ptCount val="1"/>
                <c:pt idx="0">
                  <c:v>L6+</c:v>
                </c:pt>
              </c:strCache>
            </c:strRef>
          </c:tx>
          <c:spPr>
            <a:ln w="28575" cap="rnd">
              <a:solidFill>
                <a:schemeClr val="accent4"/>
              </a:solidFill>
              <a:round/>
            </a:ln>
            <a:effectLst/>
          </c:spPr>
          <c:marker>
            <c:symbol val="none"/>
          </c:marker>
          <c:cat>
            <c:numRef>
              <c:f>Skills!$G$13:$X$13</c:f>
              <c:numCache>
                <c:formatCode>General</c:formatCode>
                <c:ptCount val="18"/>
                <c:pt idx="0">
                  <c:v>2008</c:v>
                </c:pt>
                <c:pt idx="1">
                  <c:v>2009</c:v>
                </c:pt>
                <c:pt idx="2">
                  <c:v>2010</c:v>
                </c:pt>
                <c:pt idx="3">
                  <c:v>2011</c:v>
                </c:pt>
                <c:pt idx="4">
                  <c:v>2012</c:v>
                </c:pt>
                <c:pt idx="5">
                  <c:v>2013</c:v>
                </c:pt>
                <c:pt idx="6">
                  <c:v>2014</c:v>
                </c:pt>
                <c:pt idx="7">
                  <c:v>2015</c:v>
                </c:pt>
                <c:pt idx="8">
                  <c:v>2016</c:v>
                </c:pt>
                <c:pt idx="9">
                  <c:v>2017</c:v>
                </c:pt>
                <c:pt idx="10">
                  <c:v>2018</c:v>
                </c:pt>
                <c:pt idx="11">
                  <c:v>2019</c:v>
                </c:pt>
                <c:pt idx="12">
                  <c:v>2020</c:v>
                </c:pt>
                <c:pt idx="13">
                  <c:v>2021</c:v>
                </c:pt>
                <c:pt idx="14">
                  <c:v>2022</c:v>
                </c:pt>
                <c:pt idx="15">
                  <c:v>2023</c:v>
                </c:pt>
                <c:pt idx="16">
                  <c:v>2024</c:v>
                </c:pt>
                <c:pt idx="17">
                  <c:v>2025</c:v>
                </c:pt>
              </c:numCache>
            </c:numRef>
          </c:cat>
          <c:val>
            <c:numRef>
              <c:f>Skills!$G$17:$X$17</c:f>
              <c:numCache>
                <c:formatCode>General</c:formatCode>
                <c:ptCount val="18"/>
                <c:pt idx="0">
                  <c:v>100</c:v>
                </c:pt>
                <c:pt idx="1">
                  <c:v>90.575916230366488</c:v>
                </c:pt>
                <c:pt idx="2">
                  <c:v>105.75916230366491</c:v>
                </c:pt>
                <c:pt idx="3">
                  <c:v>95.287958115183244</c:v>
                </c:pt>
                <c:pt idx="4">
                  <c:v>102.44328097731238</c:v>
                </c:pt>
                <c:pt idx="5">
                  <c:v>99.825479930191975</c:v>
                </c:pt>
                <c:pt idx="6">
                  <c:v>98.603839441535783</c:v>
                </c:pt>
                <c:pt idx="7">
                  <c:v>101.57068062827226</c:v>
                </c:pt>
                <c:pt idx="8">
                  <c:v>102.61780104712042</c:v>
                </c:pt>
                <c:pt idx="9">
                  <c:v>111.34380453752182</c:v>
                </c:pt>
                <c:pt idx="10">
                  <c:v>109.77312390924956</c:v>
                </c:pt>
                <c:pt idx="11">
                  <c:v>107.32984293193716</c:v>
                </c:pt>
                <c:pt idx="12">
                  <c:v>107.67888307155322</c:v>
                </c:pt>
                <c:pt idx="13">
                  <c:v>110.64572425828972</c:v>
                </c:pt>
                <c:pt idx="14">
                  <c:v>115.88132635253055</c:v>
                </c:pt>
                <c:pt idx="15">
                  <c:v>119.02268760907504</c:v>
                </c:pt>
                <c:pt idx="16">
                  <c:v>132.4607329842932</c:v>
                </c:pt>
                <c:pt idx="17">
                  <c:v>137.69633507853402</c:v>
                </c:pt>
              </c:numCache>
            </c:numRef>
          </c:val>
          <c:smooth val="0"/>
          <c:extLst>
            <c:ext xmlns:c16="http://schemas.microsoft.com/office/drawing/2014/chart" uri="{C3380CC4-5D6E-409C-BE32-E72D297353CC}">
              <c16:uniqueId val="{00000003-1C2F-4AF7-8C49-CC0F0BA4F44E}"/>
            </c:ext>
          </c:extLst>
        </c:ser>
        <c:dLbls>
          <c:showLegendKey val="0"/>
          <c:showVal val="0"/>
          <c:showCatName val="0"/>
          <c:showSerName val="0"/>
          <c:showPercent val="0"/>
          <c:showBubbleSize val="0"/>
        </c:dLbls>
        <c:smooth val="0"/>
        <c:axId val="1217419344"/>
        <c:axId val="1217420784"/>
      </c:lineChart>
      <c:catAx>
        <c:axId val="12174193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5400000" spcFirstLastPara="1" vertOverflow="ellipsis"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17420784"/>
        <c:crosses val="autoZero"/>
        <c:auto val="1"/>
        <c:lblAlgn val="ctr"/>
        <c:lblOffset val="100"/>
        <c:noMultiLvlLbl val="0"/>
      </c:catAx>
      <c:valAx>
        <c:axId val="1217420784"/>
        <c:scaling>
          <c:orientation val="minMax"/>
          <c:min val="80"/>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GB" b="1"/>
                  <a:t>2008=100</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2174193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6066278370887326E-2"/>
          <c:y val="4.7464940668824167E-2"/>
          <c:w val="0.87977117357859103"/>
          <c:h val="0.78393361024046748"/>
        </c:manualLayout>
      </c:layout>
      <c:lineChart>
        <c:grouping val="standard"/>
        <c:varyColors val="0"/>
        <c:ser>
          <c:idx val="0"/>
          <c:order val="0"/>
          <c:tx>
            <c:v>Nominal Wages</c:v>
          </c:tx>
          <c:spPr>
            <a:ln w="28575" cap="rnd">
              <a:solidFill>
                <a:schemeClr val="accent1"/>
              </a:solidFill>
              <a:round/>
            </a:ln>
            <a:effectLst/>
          </c:spPr>
          <c:marker>
            <c:symbol val="none"/>
          </c:marker>
          <c:cat>
            <c:numRef>
              <c:f>'Real and Nominal Wages'!$A$5:$A$25</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'Real and Nominal Wages'!$B$5:$B$25</c:f>
              <c:numCache>
                <c:formatCode>0</c:formatCode>
                <c:ptCount val="21"/>
                <c:pt idx="0">
                  <c:v>385.2</c:v>
                </c:pt>
                <c:pt idx="1">
                  <c:v>402.5</c:v>
                </c:pt>
                <c:pt idx="2">
                  <c:v>400.3</c:v>
                </c:pt>
                <c:pt idx="3">
                  <c:v>417.7</c:v>
                </c:pt>
                <c:pt idx="4">
                  <c:v>437.1</c:v>
                </c:pt>
                <c:pt idx="5">
                  <c:v>437.3</c:v>
                </c:pt>
                <c:pt idx="6">
                  <c:v>444.7</c:v>
                </c:pt>
                <c:pt idx="7">
                  <c:v>457.6</c:v>
                </c:pt>
                <c:pt idx="8">
                  <c:v>463.6</c:v>
                </c:pt>
                <c:pt idx="9">
                  <c:v>460</c:v>
                </c:pt>
                <c:pt idx="10">
                  <c:v>484.7</c:v>
                </c:pt>
                <c:pt idx="11">
                  <c:v>493.6</c:v>
                </c:pt>
                <c:pt idx="12">
                  <c:v>500</c:v>
                </c:pt>
                <c:pt idx="13">
                  <c:v>517.79999999999995</c:v>
                </c:pt>
                <c:pt idx="14">
                  <c:v>534.5</c:v>
                </c:pt>
                <c:pt idx="15">
                  <c:v>528.70000000000005</c:v>
                </c:pt>
                <c:pt idx="16">
                  <c:v>574.9</c:v>
                </c:pt>
                <c:pt idx="17">
                  <c:v>596.79999999999995</c:v>
                </c:pt>
                <c:pt idx="18">
                  <c:v>638.70000000000005</c:v>
                </c:pt>
                <c:pt idx="19">
                  <c:v>664</c:v>
                </c:pt>
                <c:pt idx="20">
                  <c:v>713.1</c:v>
                </c:pt>
              </c:numCache>
            </c:numRef>
          </c:val>
          <c:smooth val="0"/>
          <c:extLst>
            <c:ext xmlns:c16="http://schemas.microsoft.com/office/drawing/2014/chart" uri="{C3380CC4-5D6E-409C-BE32-E72D297353CC}">
              <c16:uniqueId val="{00000000-C955-4AC3-937D-472C6193AD6A}"/>
            </c:ext>
          </c:extLst>
        </c:ser>
        <c:ser>
          <c:idx val="1"/>
          <c:order val="1"/>
          <c:tx>
            <c:v>Real Wages</c:v>
          </c:tx>
          <c:spPr>
            <a:ln w="28575" cap="rnd">
              <a:solidFill>
                <a:schemeClr val="accent2"/>
              </a:solidFill>
              <a:round/>
            </a:ln>
            <a:effectLst/>
          </c:spPr>
          <c:marker>
            <c:symbol val="none"/>
          </c:marker>
          <c:cat>
            <c:numRef>
              <c:f>'Real and Nominal Wages'!$A$5:$A$25</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'Real and Nominal Wages'!$C$5:$C$25</c:f>
              <c:numCache>
                <c:formatCode>0</c:formatCode>
                <c:ptCount val="21"/>
                <c:pt idx="0">
                  <c:v>670.57</c:v>
                </c:pt>
                <c:pt idx="1">
                  <c:v>685.1</c:v>
                </c:pt>
                <c:pt idx="2">
                  <c:v>663.31</c:v>
                </c:pt>
                <c:pt idx="3">
                  <c:v>671.93</c:v>
                </c:pt>
                <c:pt idx="4">
                  <c:v>687.87</c:v>
                </c:pt>
                <c:pt idx="5">
                  <c:v>669.81</c:v>
                </c:pt>
                <c:pt idx="6">
                  <c:v>656.33</c:v>
                </c:pt>
                <c:pt idx="7">
                  <c:v>657.05</c:v>
                </c:pt>
                <c:pt idx="8">
                  <c:v>651.41</c:v>
                </c:pt>
                <c:pt idx="9">
                  <c:v>635.96</c:v>
                </c:pt>
                <c:pt idx="10">
                  <c:v>668.1</c:v>
                </c:pt>
                <c:pt idx="11">
                  <c:v>675.63</c:v>
                </c:pt>
                <c:pt idx="12">
                  <c:v>667.15</c:v>
                </c:pt>
                <c:pt idx="13">
                  <c:v>675.84</c:v>
                </c:pt>
                <c:pt idx="14">
                  <c:v>684.02</c:v>
                </c:pt>
                <c:pt idx="15">
                  <c:v>670.37</c:v>
                </c:pt>
                <c:pt idx="16">
                  <c:v>717.06</c:v>
                </c:pt>
                <c:pt idx="17">
                  <c:v>690.58</c:v>
                </c:pt>
                <c:pt idx="18">
                  <c:v>685.49</c:v>
                </c:pt>
                <c:pt idx="19">
                  <c:v>691.62</c:v>
                </c:pt>
                <c:pt idx="20">
                  <c:v>713.1</c:v>
                </c:pt>
              </c:numCache>
            </c:numRef>
          </c:val>
          <c:smooth val="0"/>
          <c:extLst>
            <c:ext xmlns:c16="http://schemas.microsoft.com/office/drawing/2014/chart" uri="{C3380CC4-5D6E-409C-BE32-E72D297353CC}">
              <c16:uniqueId val="{00000001-C955-4AC3-937D-472C6193AD6A}"/>
            </c:ext>
          </c:extLst>
        </c:ser>
        <c:dLbls>
          <c:showLegendKey val="0"/>
          <c:showVal val="0"/>
          <c:showCatName val="0"/>
          <c:showSerName val="0"/>
          <c:showPercent val="0"/>
          <c:showBubbleSize val="0"/>
        </c:dLbls>
        <c:smooth val="0"/>
        <c:axId val="1542417216"/>
        <c:axId val="1542416496"/>
      </c:lineChart>
      <c:catAx>
        <c:axId val="15424172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2416496"/>
        <c:crosses val="autoZero"/>
        <c:auto val="1"/>
        <c:lblAlgn val="ctr"/>
        <c:lblOffset val="100"/>
        <c:noMultiLvlLbl val="0"/>
      </c:catAx>
      <c:valAx>
        <c:axId val="154241649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GB"/>
                  <a: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2417216"/>
        <c:crosses val="autoZero"/>
        <c:crossBetween val="between"/>
      </c:valAx>
      <c:spPr>
        <a:noFill/>
        <a:ln>
          <a:noFill/>
        </a:ln>
        <a:effectLst/>
      </c:spPr>
    </c:plotArea>
    <c:legend>
      <c:legendPos val="b"/>
      <c:layout>
        <c:manualLayout>
          <c:xMode val="edge"/>
          <c:yMode val="edge"/>
          <c:x val="0.62899706425585689"/>
          <c:y val="0.48738983284984116"/>
          <c:w val="0.35040093321668125"/>
          <c:h val="7.4013675922088684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Nominal Wage Growth</c:v>
          </c:tx>
          <c:spPr>
            <a:ln w="28575" cap="rnd">
              <a:solidFill>
                <a:schemeClr val="accent1"/>
              </a:solidFill>
              <a:round/>
            </a:ln>
            <a:effectLst/>
          </c:spPr>
          <c:marker>
            <c:symbol val="none"/>
          </c:marker>
          <c:cat>
            <c:numRef>
              <c:f>'Real and Nominal Wages'!$H$4:$AB$4</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'Real and Nominal Wages'!$H$8:$AB$8</c:f>
              <c:numCache>
                <c:formatCode>General</c:formatCode>
                <c:ptCount val="21"/>
                <c:pt idx="0">
                  <c:v>100</c:v>
                </c:pt>
                <c:pt idx="1">
                  <c:v>104.49117341640705</c:v>
                </c:pt>
                <c:pt idx="2">
                  <c:v>103.92004153686398</c:v>
                </c:pt>
                <c:pt idx="3">
                  <c:v>108.43717549325027</c:v>
                </c:pt>
                <c:pt idx="4">
                  <c:v>113.4735202492212</c:v>
                </c:pt>
                <c:pt idx="5">
                  <c:v>113.52544132917966</c:v>
                </c:pt>
                <c:pt idx="6">
                  <c:v>115.4465212876428</c:v>
                </c:pt>
                <c:pt idx="7">
                  <c:v>118.79543094496366</c:v>
                </c:pt>
                <c:pt idx="8">
                  <c:v>120.35306334371757</c:v>
                </c:pt>
                <c:pt idx="9">
                  <c:v>119.41848390446521</c:v>
                </c:pt>
                <c:pt idx="10">
                  <c:v>125.83073727933541</c:v>
                </c:pt>
                <c:pt idx="11">
                  <c:v>128.14122533748701</c:v>
                </c:pt>
                <c:pt idx="12">
                  <c:v>129.80269989615783</c:v>
                </c:pt>
                <c:pt idx="13">
                  <c:v>134.42367601246104</c:v>
                </c:pt>
                <c:pt idx="14">
                  <c:v>138.75908618899274</c:v>
                </c:pt>
                <c:pt idx="15">
                  <c:v>137.25337487019732</c:v>
                </c:pt>
                <c:pt idx="16">
                  <c:v>149.24714434060229</c:v>
                </c:pt>
                <c:pt idx="17">
                  <c:v>154.93250259605401</c:v>
                </c:pt>
                <c:pt idx="18">
                  <c:v>165.80996884735205</c:v>
                </c:pt>
                <c:pt idx="19">
                  <c:v>172.37798546209763</c:v>
                </c:pt>
                <c:pt idx="20" formatCode="0.00">
                  <c:v>185.12461059190034</c:v>
                </c:pt>
              </c:numCache>
            </c:numRef>
          </c:val>
          <c:smooth val="0"/>
          <c:extLst>
            <c:ext xmlns:c16="http://schemas.microsoft.com/office/drawing/2014/chart" uri="{C3380CC4-5D6E-409C-BE32-E72D297353CC}">
              <c16:uniqueId val="{00000000-7544-4ADF-842D-7DF5ACD7A7C0}"/>
            </c:ext>
          </c:extLst>
        </c:ser>
        <c:ser>
          <c:idx val="1"/>
          <c:order val="1"/>
          <c:tx>
            <c:v>Real Wage Growth</c:v>
          </c:tx>
          <c:spPr>
            <a:ln w="28575" cap="rnd">
              <a:solidFill>
                <a:schemeClr val="accent2"/>
              </a:solidFill>
              <a:round/>
            </a:ln>
            <a:effectLst/>
          </c:spPr>
          <c:marker>
            <c:symbol val="none"/>
          </c:marker>
          <c:cat>
            <c:numRef>
              <c:f>'Real and Nominal Wages'!$H$4:$AB$4</c:f>
              <c:numCache>
                <c:formatCode>General</c:formatCode>
                <c:ptCount val="21"/>
                <c:pt idx="0">
                  <c:v>2005</c:v>
                </c:pt>
                <c:pt idx="1">
                  <c:v>2006</c:v>
                </c:pt>
                <c:pt idx="2">
                  <c:v>2007</c:v>
                </c:pt>
                <c:pt idx="3">
                  <c:v>2008</c:v>
                </c:pt>
                <c:pt idx="4">
                  <c:v>2009</c:v>
                </c:pt>
                <c:pt idx="5">
                  <c:v>2010</c:v>
                </c:pt>
                <c:pt idx="6">
                  <c:v>2011</c:v>
                </c:pt>
                <c:pt idx="7">
                  <c:v>2012</c:v>
                </c:pt>
                <c:pt idx="8">
                  <c:v>2013</c:v>
                </c:pt>
                <c:pt idx="9">
                  <c:v>2014</c:v>
                </c:pt>
                <c:pt idx="10">
                  <c:v>2015</c:v>
                </c:pt>
                <c:pt idx="11">
                  <c:v>2016</c:v>
                </c:pt>
                <c:pt idx="12">
                  <c:v>2017</c:v>
                </c:pt>
                <c:pt idx="13">
                  <c:v>2018</c:v>
                </c:pt>
                <c:pt idx="14">
                  <c:v>2019</c:v>
                </c:pt>
                <c:pt idx="15">
                  <c:v>2020</c:v>
                </c:pt>
                <c:pt idx="16">
                  <c:v>2021</c:v>
                </c:pt>
                <c:pt idx="17">
                  <c:v>2022</c:v>
                </c:pt>
                <c:pt idx="18">
                  <c:v>2023</c:v>
                </c:pt>
                <c:pt idx="19">
                  <c:v>2024</c:v>
                </c:pt>
                <c:pt idx="20">
                  <c:v>2025</c:v>
                </c:pt>
              </c:numCache>
            </c:numRef>
          </c:cat>
          <c:val>
            <c:numRef>
              <c:f>'Real and Nominal Wages'!$H$9:$AB$9</c:f>
              <c:numCache>
                <c:formatCode>General</c:formatCode>
                <c:ptCount val="21"/>
                <c:pt idx="0">
                  <c:v>100</c:v>
                </c:pt>
                <c:pt idx="1">
                  <c:v>102.16681330808117</c:v>
                </c:pt>
                <c:pt idx="2">
                  <c:v>98.9173389802705</c:v>
                </c:pt>
                <c:pt idx="3">
                  <c:v>100.20281253262149</c:v>
                </c:pt>
                <c:pt idx="4">
                  <c:v>102.57989471643528</c:v>
                </c:pt>
                <c:pt idx="5">
                  <c:v>99.886663584711499</c:v>
                </c:pt>
                <c:pt idx="6">
                  <c:v>97.876433481963105</c:v>
                </c:pt>
                <c:pt idx="7">
                  <c:v>97.983804822762707</c:v>
                </c:pt>
                <c:pt idx="8">
                  <c:v>97.14272931983237</c:v>
                </c:pt>
                <c:pt idx="9">
                  <c:v>94.838719298507229</c:v>
                </c:pt>
                <c:pt idx="10">
                  <c:v>99.631656650312422</c:v>
                </c:pt>
                <c:pt idx="11">
                  <c:v>100.75458192284175</c:v>
                </c:pt>
                <c:pt idx="12">
                  <c:v>99.489986131201803</c:v>
                </c:pt>
                <c:pt idx="13">
                  <c:v>100.78589856390832</c:v>
                </c:pt>
                <c:pt idx="14">
                  <c:v>102.00575629688176</c:v>
                </c:pt>
                <c:pt idx="15">
                  <c:v>99.97017462755565</c:v>
                </c:pt>
                <c:pt idx="16">
                  <c:v>106.93290782468645</c:v>
                </c:pt>
                <c:pt idx="17">
                  <c:v>102.98402851305606</c:v>
                </c:pt>
                <c:pt idx="18">
                  <c:v>102.22497278434763</c:v>
                </c:pt>
                <c:pt idx="19">
                  <c:v>103.13912044976661</c:v>
                </c:pt>
                <c:pt idx="20" formatCode="0.00">
                  <c:v>106.34236545028854</c:v>
                </c:pt>
              </c:numCache>
            </c:numRef>
          </c:val>
          <c:smooth val="0"/>
          <c:extLst>
            <c:ext xmlns:c16="http://schemas.microsoft.com/office/drawing/2014/chart" uri="{C3380CC4-5D6E-409C-BE32-E72D297353CC}">
              <c16:uniqueId val="{00000001-7544-4ADF-842D-7DF5ACD7A7C0}"/>
            </c:ext>
          </c:extLst>
        </c:ser>
        <c:dLbls>
          <c:showLegendKey val="0"/>
          <c:showVal val="0"/>
          <c:showCatName val="0"/>
          <c:showSerName val="0"/>
          <c:showPercent val="0"/>
          <c:showBubbleSize val="0"/>
        </c:dLbls>
        <c:smooth val="0"/>
        <c:axId val="1073632720"/>
        <c:axId val="1073624440"/>
      </c:lineChart>
      <c:catAx>
        <c:axId val="10736327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073624440"/>
        <c:crosses val="autoZero"/>
        <c:auto val="1"/>
        <c:lblAlgn val="ctr"/>
        <c:lblOffset val="100"/>
        <c:noMultiLvlLbl val="0"/>
      </c:catAx>
      <c:valAx>
        <c:axId val="1073624440"/>
        <c:scaling>
          <c:orientation val="minMax"/>
          <c:min val="50"/>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073632720"/>
        <c:crosses val="autoZero"/>
        <c:crossBetween val="between"/>
        <c:majorUnit val="10"/>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Age!$A$20:$A$26</c:f>
              <c:strCache>
                <c:ptCount val="6"/>
                <c:pt idx="1">
                  <c:v>  Age 22-29</c:v>
                </c:pt>
                <c:pt idx="2">
                  <c:v>  Age 30-39</c:v>
                </c:pt>
                <c:pt idx="3">
                  <c:v>  Age 40-49</c:v>
                </c:pt>
                <c:pt idx="4">
                  <c:v>  Age 50-59</c:v>
                </c:pt>
                <c:pt idx="5">
                  <c:v>  Age 60+</c:v>
                </c:pt>
              </c:strCache>
              <c:extLst/>
            </c:strRef>
          </c:cat>
          <c:val>
            <c:numRef>
              <c:f>Age!$B$20:$B$26</c:f>
              <c:numCache>
                <c:formatCode>#,##0</c:formatCode>
                <c:ptCount val="7"/>
                <c:pt idx="1">
                  <c:v>593</c:v>
                </c:pt>
                <c:pt idx="2">
                  <c:v>709.3</c:v>
                </c:pt>
                <c:pt idx="3">
                  <c:v>766.6</c:v>
                </c:pt>
                <c:pt idx="4">
                  <c:v>761.7</c:v>
                </c:pt>
                <c:pt idx="5">
                  <c:v>650</c:v>
                </c:pt>
              </c:numCache>
              <c:extLst/>
            </c:numRef>
          </c:val>
          <c:extLst>
            <c:ext xmlns:c16="http://schemas.microsoft.com/office/drawing/2014/chart" uri="{C3380CC4-5D6E-409C-BE32-E72D297353CC}">
              <c16:uniqueId val="{00000000-D338-41D2-9BF2-3417AF9C76CD}"/>
            </c:ext>
          </c:extLst>
        </c:ser>
        <c:dLbls>
          <c:showLegendKey val="0"/>
          <c:showVal val="0"/>
          <c:showCatName val="0"/>
          <c:showSerName val="0"/>
          <c:showPercent val="0"/>
          <c:showBubbleSize val="0"/>
        </c:dLbls>
        <c:gapWidth val="220"/>
        <c:axId val="1058154528"/>
        <c:axId val="1058148408"/>
      </c:barChart>
      <c:lineChart>
        <c:grouping val="standard"/>
        <c:varyColors val="0"/>
        <c:ser>
          <c:idx val="1"/>
          <c:order val="1"/>
          <c:spPr>
            <a:ln w="28575" cap="rnd">
              <a:solidFill>
                <a:srgbClr val="FF0000"/>
              </a:solidFill>
              <a:round/>
            </a:ln>
            <a:effectLst/>
          </c:spPr>
          <c:marker>
            <c:symbol val="none"/>
          </c:marker>
          <c:dLbls>
            <c:dLbl>
              <c:idx val="5"/>
              <c:layout>
                <c:manualLayout>
                  <c:x val="-1.5965441819772528E-2"/>
                  <c:y val="-8.7893336249635468E-2"/>
                </c:manualLayout>
              </c:layout>
              <c:tx>
                <c:rich>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75000"/>
                            <a:lumOff val="25000"/>
                          </a:sysClr>
                        </a:solidFill>
                        <a:latin typeface="+mn-lt"/>
                        <a:ea typeface="+mn-ea"/>
                        <a:cs typeface="+mn-cs"/>
                      </a:defRPr>
                    </a:pPr>
                    <a:r>
                      <a:rPr lang="en-US" sz="800" b="1" i="0" u="none" strike="noStrike" kern="1200" baseline="0">
                        <a:solidFill>
                          <a:sysClr val="windowText" lastClr="000000">
                            <a:lumMod val="75000"/>
                            <a:lumOff val="25000"/>
                          </a:sysClr>
                        </a:solidFill>
                      </a:rPr>
                      <a:t>All Employees £</a:t>
                    </a:r>
                    <a:fld id="{B8CD3038-1A96-425E-BD3E-FD75D5C25F7B}" type="VALUE">
                      <a:rPr lang="en-US" sz="800" b="1" i="0" u="none" strike="noStrike" kern="1200" baseline="0">
                        <a:solidFill>
                          <a:sysClr val="windowText" lastClr="000000">
                            <a:lumMod val="75000"/>
                            <a:lumOff val="25000"/>
                          </a:sysClr>
                        </a:solidFill>
                      </a:rPr>
                      <a:pPr marL="0" marR="0" lvl="0" indent="0" algn="ctr" defTabSz="914400" rtl="0" eaLnBrk="1" fontAlgn="auto" latinLnBrk="0" hangingPunct="1">
                        <a:lnSpc>
                          <a:spcPct val="100000"/>
                        </a:lnSpc>
                        <a:spcBef>
                          <a:spcPts val="0"/>
                        </a:spcBef>
                        <a:spcAft>
                          <a:spcPts val="0"/>
                        </a:spcAft>
                        <a:buClrTx/>
                        <a:buSzTx/>
                        <a:buFontTx/>
                        <a:buNone/>
                        <a:tabLst/>
                        <a:defRPr sz="800">
                          <a:solidFill>
                            <a:sysClr val="windowText" lastClr="000000">
                              <a:lumMod val="75000"/>
                              <a:lumOff val="25000"/>
                            </a:sysClr>
                          </a:solidFill>
                        </a:defRPr>
                      </a:pPr>
                      <a:t>[VALUE]</a:t>
                    </a:fld>
                    <a:endParaRPr lang="en-US" sz="800" b="1" i="0" u="none" strike="noStrike" kern="1200" baseline="0">
                      <a:solidFill>
                        <a:sysClr val="windowText" lastClr="000000">
                          <a:lumMod val="75000"/>
                          <a:lumOff val="25000"/>
                        </a:sysClr>
                      </a:solidFill>
                    </a:endParaRPr>
                  </a:p>
                </c:rich>
              </c:tx>
              <c:spPr>
                <a:noFill/>
                <a:ln>
                  <a:noFill/>
                </a:ln>
                <a:effectLst/>
              </c:spPr>
              <c:txPr>
                <a:bodyPr rot="0" spcFirstLastPara="1" vertOverflow="ellipsis" vert="horz" wrap="square" lIns="38100" tIns="19050" rIns="38100" bIns="19050" anchor="ctr" anchorCtr="0">
                  <a:spAutoFit/>
                </a:bodyPr>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75000"/>
                          <a:lumOff val="25000"/>
                        </a:sysClr>
                      </a:solidFill>
                      <a:latin typeface="+mn-lt"/>
                      <a:ea typeface="+mn-ea"/>
                      <a:cs typeface="+mn-cs"/>
                    </a:defRPr>
                  </a:pPr>
                  <a:endParaRPr lang="en-US"/>
                </a:p>
              </c:txPr>
              <c:dLblPos val="r"/>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D338-41D2-9BF2-3417AF9C76CD}"/>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lumMod val="75000"/>
                        <a:lumOff val="25000"/>
                      </a:schemeClr>
                    </a:solidFill>
                    <a:latin typeface="+mn-lt"/>
                    <a:ea typeface="+mn-ea"/>
                    <a:cs typeface="+mn-cs"/>
                  </a:defRPr>
                </a:pPr>
                <a:endParaRPr lang="en-US"/>
              </a:p>
            </c:txPr>
            <c:dLblPos val="t"/>
            <c:showLegendKey val="0"/>
            <c:showVal val="0"/>
            <c:showCatName val="0"/>
            <c:showSerName val="0"/>
            <c:showPercent val="0"/>
            <c:showBubbleSize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Age!$A$20:$A$26</c:f>
              <c:strCache>
                <c:ptCount val="6"/>
                <c:pt idx="1">
                  <c:v>  Age 22-29</c:v>
                </c:pt>
                <c:pt idx="2">
                  <c:v>  Age 30-39</c:v>
                </c:pt>
                <c:pt idx="3">
                  <c:v>  Age 40-49</c:v>
                </c:pt>
                <c:pt idx="4">
                  <c:v>  Age 50-59</c:v>
                </c:pt>
                <c:pt idx="5">
                  <c:v>  Age 60+</c:v>
                </c:pt>
              </c:strCache>
              <c:extLst/>
            </c:strRef>
          </c:cat>
          <c:val>
            <c:numRef>
              <c:f>Age!$C$20:$C$26</c:f>
              <c:numCache>
                <c:formatCode>#,##0</c:formatCode>
                <c:ptCount val="7"/>
                <c:pt idx="0">
                  <c:v>684.4</c:v>
                </c:pt>
                <c:pt idx="1">
                  <c:v>684.4</c:v>
                </c:pt>
                <c:pt idx="2">
                  <c:v>684.4</c:v>
                </c:pt>
                <c:pt idx="3">
                  <c:v>684.4</c:v>
                </c:pt>
                <c:pt idx="4">
                  <c:v>684.4</c:v>
                </c:pt>
                <c:pt idx="5">
                  <c:v>684.4</c:v>
                </c:pt>
                <c:pt idx="6">
                  <c:v>684.4</c:v>
                </c:pt>
              </c:numCache>
              <c:extLst/>
            </c:numRef>
          </c:val>
          <c:smooth val="0"/>
          <c:extLst>
            <c:ext xmlns:c16="http://schemas.microsoft.com/office/drawing/2014/chart" uri="{C3380CC4-5D6E-409C-BE32-E72D297353CC}">
              <c16:uniqueId val="{00000002-D338-41D2-9BF2-3417AF9C76CD}"/>
            </c:ext>
          </c:extLst>
        </c:ser>
        <c:dLbls>
          <c:showLegendKey val="0"/>
          <c:showVal val="0"/>
          <c:showCatName val="0"/>
          <c:showSerName val="0"/>
          <c:showPercent val="0"/>
          <c:showBubbleSize val="0"/>
        </c:dLbls>
        <c:marker val="1"/>
        <c:smooth val="0"/>
        <c:axId val="1058154528"/>
        <c:axId val="1058148408"/>
      </c:lineChart>
      <c:catAx>
        <c:axId val="105815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058148408"/>
        <c:crosses val="autoZero"/>
        <c:auto val="1"/>
        <c:lblAlgn val="ctr"/>
        <c:lblOffset val="100"/>
        <c:noMultiLvlLbl val="0"/>
      </c:catAx>
      <c:valAx>
        <c:axId val="1058148408"/>
        <c:scaling>
          <c:orientation val="minMax"/>
        </c:scaling>
        <c:delete val="0"/>
        <c:axPos val="l"/>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lumMod val="65000"/>
                        <a:lumOff val="35000"/>
                      </a:sysClr>
                    </a:solidFill>
                    <a:latin typeface="+mn-lt"/>
                    <a:ea typeface="+mn-ea"/>
                    <a:cs typeface="+mn-cs"/>
                  </a:defRPr>
                </a:pPr>
                <a:r>
                  <a:rPr lang="en-GB" sz="1000" b="1" i="0" u="none" strike="noStrike" kern="1200" baseline="0">
                    <a:solidFill>
                      <a:sysClr val="windowText" lastClr="000000">
                        <a:lumMod val="65000"/>
                        <a:lumOff val="35000"/>
                      </a:sysClr>
                    </a:solidFill>
                  </a:rPr>
                  <a:t>Weekly Earnings Excluding Overtime £</a:t>
                </a:r>
              </a:p>
              <a:p>
                <a:pPr marL="0" marR="0" lvl="0" indent="0" algn="ctr" defTabSz="914400" rtl="0" eaLnBrk="1" fontAlgn="auto" latinLnBrk="0" hangingPunct="1">
                  <a:lnSpc>
                    <a:spcPct val="100000"/>
                  </a:lnSpc>
                  <a:spcBef>
                    <a:spcPts val="0"/>
                  </a:spcBef>
                  <a:spcAft>
                    <a:spcPts val="0"/>
                  </a:spcAft>
                  <a:buClrTx/>
                  <a:buSzTx/>
                  <a:buFontTx/>
                  <a:buNone/>
                  <a:tabLst/>
                  <a:defRPr b="1">
                    <a:solidFill>
                      <a:sysClr val="windowText" lastClr="000000">
                        <a:lumMod val="65000"/>
                        <a:lumOff val="35000"/>
                      </a:sysClr>
                    </a:solidFill>
                  </a:defRPr>
                </a:pPr>
                <a:endParaRPr lang="en-GB" b="1"/>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lumMod val="65000"/>
                      <a:lumOff val="35000"/>
                    </a:sys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105815452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v>Job Stayers</c:v>
          </c:tx>
          <c:spPr>
            <a:ln w="28575" cap="rnd">
              <a:solidFill>
                <a:schemeClr val="accent1"/>
              </a:solidFill>
              <a:round/>
            </a:ln>
            <a:effectLst/>
          </c:spPr>
          <c:marker>
            <c:symbol val="none"/>
          </c:marker>
          <c:cat>
            <c:numRef>
              <c:f>Earnings!$A$45:$A$54</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Earnings!$B$45:$B$54</c:f>
              <c:numCache>
                <c:formatCode>0.0</c:formatCode>
                <c:ptCount val="10"/>
                <c:pt idx="0">
                  <c:v>1.8</c:v>
                </c:pt>
                <c:pt idx="1">
                  <c:v>1.4</c:v>
                </c:pt>
                <c:pt idx="2">
                  <c:v>1.9</c:v>
                </c:pt>
                <c:pt idx="3">
                  <c:v>1.9</c:v>
                </c:pt>
                <c:pt idx="4">
                  <c:v>3</c:v>
                </c:pt>
                <c:pt idx="5">
                  <c:v>3</c:v>
                </c:pt>
                <c:pt idx="6">
                  <c:v>2.9</c:v>
                </c:pt>
                <c:pt idx="7">
                  <c:v>3.7</c:v>
                </c:pt>
                <c:pt idx="8">
                  <c:v>2</c:v>
                </c:pt>
                <c:pt idx="9">
                  <c:v>3.2</c:v>
                </c:pt>
              </c:numCache>
            </c:numRef>
          </c:val>
          <c:smooth val="0"/>
          <c:extLst>
            <c:ext xmlns:c16="http://schemas.microsoft.com/office/drawing/2014/chart" uri="{C3380CC4-5D6E-409C-BE32-E72D297353CC}">
              <c16:uniqueId val="{00000000-E8C9-4943-B926-0C606511FCC9}"/>
            </c:ext>
          </c:extLst>
        </c:ser>
        <c:ser>
          <c:idx val="1"/>
          <c:order val="1"/>
          <c:tx>
            <c:v>Job Changers</c:v>
          </c:tx>
          <c:spPr>
            <a:ln w="28575" cap="rnd">
              <a:solidFill>
                <a:schemeClr val="accent2"/>
              </a:solidFill>
              <a:round/>
            </a:ln>
            <a:effectLst/>
          </c:spPr>
          <c:marker>
            <c:symbol val="none"/>
          </c:marker>
          <c:cat>
            <c:numRef>
              <c:f>Earnings!$A$45:$A$54</c:f>
              <c:numCache>
                <c:formatCode>General</c:formatCode>
                <c:ptCount val="10"/>
                <c:pt idx="0">
                  <c:v>2012</c:v>
                </c:pt>
                <c:pt idx="1">
                  <c:v>2013</c:v>
                </c:pt>
                <c:pt idx="2">
                  <c:v>2014</c:v>
                </c:pt>
                <c:pt idx="3">
                  <c:v>2015</c:v>
                </c:pt>
                <c:pt idx="4">
                  <c:v>2016</c:v>
                </c:pt>
                <c:pt idx="5">
                  <c:v>2017</c:v>
                </c:pt>
                <c:pt idx="6">
                  <c:v>2018</c:v>
                </c:pt>
                <c:pt idx="7">
                  <c:v>2019</c:v>
                </c:pt>
                <c:pt idx="8">
                  <c:v>2020</c:v>
                </c:pt>
                <c:pt idx="9">
                  <c:v>2021</c:v>
                </c:pt>
              </c:numCache>
            </c:numRef>
          </c:cat>
          <c:val>
            <c:numRef>
              <c:f>Earnings!$C$45:$C$54</c:f>
              <c:numCache>
                <c:formatCode>0.0</c:formatCode>
                <c:ptCount val="10"/>
                <c:pt idx="0">
                  <c:v>5</c:v>
                </c:pt>
                <c:pt idx="1">
                  <c:v>4.4000000000000004</c:v>
                </c:pt>
                <c:pt idx="2">
                  <c:v>5.8</c:v>
                </c:pt>
                <c:pt idx="3">
                  <c:v>3.6</c:v>
                </c:pt>
                <c:pt idx="4">
                  <c:v>9.4</c:v>
                </c:pt>
                <c:pt idx="5">
                  <c:v>6.6</c:v>
                </c:pt>
                <c:pt idx="6">
                  <c:v>7</c:v>
                </c:pt>
                <c:pt idx="7">
                  <c:v>8.1</c:v>
                </c:pt>
                <c:pt idx="8">
                  <c:v>7.4</c:v>
                </c:pt>
                <c:pt idx="9">
                  <c:v>12.8</c:v>
                </c:pt>
              </c:numCache>
            </c:numRef>
          </c:val>
          <c:smooth val="0"/>
          <c:extLst>
            <c:ext xmlns:c16="http://schemas.microsoft.com/office/drawing/2014/chart" uri="{C3380CC4-5D6E-409C-BE32-E72D297353CC}">
              <c16:uniqueId val="{00000001-E8C9-4943-B926-0C606511FCC9}"/>
            </c:ext>
          </c:extLst>
        </c:ser>
        <c:dLbls>
          <c:showLegendKey val="0"/>
          <c:showVal val="0"/>
          <c:showCatName val="0"/>
          <c:showSerName val="0"/>
          <c:showPercent val="0"/>
          <c:showBubbleSize val="0"/>
        </c:dLbls>
        <c:smooth val="0"/>
        <c:axId val="517242384"/>
        <c:axId val="517243464"/>
      </c:lineChart>
      <c:catAx>
        <c:axId val="517242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17243464"/>
        <c:crosses val="autoZero"/>
        <c:auto val="1"/>
        <c:lblAlgn val="ctr"/>
        <c:lblOffset val="100"/>
        <c:noMultiLvlLbl val="0"/>
      </c:catAx>
      <c:valAx>
        <c:axId val="517243464"/>
        <c:scaling>
          <c:orientation val="minMax"/>
        </c:scaling>
        <c:delete val="0"/>
        <c:axPos val="l"/>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r>
                  <a:rPr lang="en-GB" b="1"/>
                  <a:t>Median</a:t>
                </a:r>
                <a:r>
                  <a:rPr lang="en-GB" b="1" baseline="0"/>
                  <a:t> Growth of Hourly Earnings %</a:t>
                </a:r>
                <a:endParaRPr lang="en-GB" b="1"/>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en-GB"/>
            </a:p>
          </c:txPr>
        </c:title>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crossAx val="517242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ERB Presentation">
  <a:themeElements>
    <a:clrScheme name="DfE Research Colours">
      <a:dk1>
        <a:sysClr val="windowText" lastClr="000000"/>
      </a:dk1>
      <a:lt1>
        <a:sysClr val="window" lastClr="FFFFFF"/>
      </a:lt1>
      <a:dk2>
        <a:srgbClr val="2B3990"/>
      </a:dk2>
      <a:lt2>
        <a:srgbClr val="EEECE1"/>
      </a:lt2>
      <a:accent1>
        <a:srgbClr val="4197D3"/>
      </a:accent1>
      <a:accent2>
        <a:srgbClr val="2B3990"/>
      </a:accent2>
      <a:accent3>
        <a:srgbClr val="8064A2"/>
      </a:accent3>
      <a:accent4>
        <a:srgbClr val="F79646"/>
      </a:accent4>
      <a:accent5>
        <a:srgbClr val="9BBB59"/>
      </a:accent5>
      <a:accent6>
        <a:srgbClr val="C0504D"/>
      </a:accent6>
      <a:hlink>
        <a:srgbClr val="4197D3"/>
      </a:hlink>
      <a:folHlink>
        <a:srgbClr val="2B3990"/>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ERB Presentation" id="{CAC93A1B-0347-4E1F-B718-2225CB0077DA}" vid="{9FA75E00-72A8-44C3-B5AC-CFFE4FF4671C}"/>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94602D-749C-4B92-975B-87A90D784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12</Pages>
  <Words>3425</Words>
  <Characters>19526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NICS</Company>
  <LinksUpToDate>false</LinksUpToDate>
  <CharactersWithSpaces>22906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Byrne</dc:creator>
  <cp:keywords/>
  <dc:description/>
  <cp:lastModifiedBy>Quinlan, Samantha</cp:lastModifiedBy>
  <cp:revision>18</cp:revision>
  <cp:lastPrinted>2017-12-13T18:03:00Z</cp:lastPrinted>
  <dcterms:created xsi:type="dcterms:W3CDTF">2026-08-26T12:55:00Z</dcterms:created>
  <dcterms:modified xsi:type="dcterms:W3CDTF">2026-09-08T09:16:00Z</dcterms:modified>
</cp:coreProperties>
</file>